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670" w:type="dxa"/>
        <w:tblInd w:w="0"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9670"/>
      </w:tblGrid>
      <w:tr w:rsidR="0093709F" w14:paraId="3C5270F5" w14:textId="77777777">
        <w:trPr>
          <w:trHeight w:val="567"/>
        </w:trPr>
        <w:tc>
          <w:tcPr>
            <w:tcW w:w="9670" w:type="dxa"/>
            <w:tcBorders>
              <w:top w:val="single" w:sz="4" w:space="0" w:color="366DB3"/>
            </w:tcBorders>
            <w:vAlign w:val="center"/>
          </w:tcPr>
          <w:p w14:paraId="35003EDC" w14:textId="2E03009E" w:rsidR="00C31484" w:rsidRDefault="00DB7C5E" w:rsidP="00C31484">
            <w:pPr>
              <w:pBdr>
                <w:top w:val="nil"/>
                <w:left w:val="nil"/>
                <w:bottom w:val="nil"/>
                <w:right w:val="nil"/>
                <w:between w:val="nil"/>
              </w:pBdr>
              <w:spacing w:before="240" w:line="240" w:lineRule="auto"/>
              <w:ind w:left="1" w:hanging="3"/>
              <w:rPr>
                <w:rFonts w:ascii="Arial" w:eastAsia="Arial" w:hAnsi="Arial" w:cs="Arial"/>
                <w:color w:val="366DB3"/>
                <w:sz w:val="32"/>
                <w:szCs w:val="32"/>
              </w:rPr>
            </w:pPr>
            <w:r>
              <w:rPr>
                <w:rFonts w:ascii="Arial" w:eastAsia="Arial" w:hAnsi="Arial" w:cs="Arial"/>
                <w:color w:val="366DB3"/>
                <w:sz w:val="32"/>
                <w:szCs w:val="32"/>
              </w:rPr>
              <w:t xml:space="preserve">Circolare per il </w:t>
            </w:r>
            <w:r w:rsidR="00C51F5A">
              <w:rPr>
                <w:rFonts w:ascii="Arial" w:eastAsia="Arial" w:hAnsi="Arial" w:cs="Arial"/>
                <w:color w:val="366DB3"/>
                <w:sz w:val="32"/>
                <w:szCs w:val="32"/>
              </w:rPr>
              <w:t>C</w:t>
            </w:r>
            <w:r>
              <w:rPr>
                <w:rFonts w:ascii="Arial" w:eastAsia="Arial" w:hAnsi="Arial" w:cs="Arial"/>
                <w:color w:val="366DB3"/>
                <w:sz w:val="32"/>
                <w:szCs w:val="32"/>
              </w:rPr>
              <w:t xml:space="preserve">liente </w:t>
            </w:r>
            <w:r w:rsidR="00D4768A">
              <w:rPr>
                <w:rFonts w:ascii="Arial" w:eastAsia="Arial" w:hAnsi="Arial" w:cs="Arial"/>
                <w:color w:val="366DB3"/>
                <w:sz w:val="32"/>
                <w:szCs w:val="32"/>
              </w:rPr>
              <w:t>5</w:t>
            </w:r>
            <w:r w:rsidR="00C51F5A">
              <w:rPr>
                <w:rFonts w:ascii="Arial" w:eastAsia="Arial" w:hAnsi="Arial" w:cs="Arial"/>
                <w:color w:val="366DB3"/>
                <w:sz w:val="32"/>
                <w:szCs w:val="32"/>
              </w:rPr>
              <w:t xml:space="preserve"> novembre</w:t>
            </w:r>
            <w:r>
              <w:rPr>
                <w:rFonts w:ascii="Arial" w:eastAsia="Arial" w:hAnsi="Arial" w:cs="Arial"/>
                <w:color w:val="366DB3"/>
                <w:sz w:val="32"/>
                <w:szCs w:val="32"/>
              </w:rPr>
              <w:t xml:space="preserve"> 202</w:t>
            </w:r>
            <w:r w:rsidR="00632F03">
              <w:rPr>
                <w:rFonts w:ascii="Arial" w:eastAsia="Arial" w:hAnsi="Arial" w:cs="Arial"/>
                <w:color w:val="366DB3"/>
                <w:sz w:val="32"/>
                <w:szCs w:val="32"/>
              </w:rPr>
              <w:t>5</w:t>
            </w:r>
          </w:p>
          <w:p w14:paraId="23103BC3" w14:textId="77777777" w:rsidR="0093709F" w:rsidRDefault="00DB7C5E">
            <w:pPr>
              <w:pBdr>
                <w:top w:val="nil"/>
                <w:left w:val="nil"/>
                <w:bottom w:val="nil"/>
                <w:right w:val="nil"/>
                <w:between w:val="nil"/>
              </w:pBdr>
              <w:spacing w:before="120" w:line="240" w:lineRule="auto"/>
              <w:ind w:left="0" w:hanging="2"/>
              <w:rPr>
                <w:rFonts w:ascii="Arial" w:eastAsia="Arial" w:hAnsi="Arial" w:cs="Arial"/>
                <w:color w:val="366DB3"/>
                <w:sz w:val="20"/>
                <w:szCs w:val="20"/>
              </w:rPr>
            </w:pPr>
            <w:r>
              <w:rPr>
                <w:rFonts w:ascii="Arial" w:eastAsia="Arial" w:hAnsi="Arial" w:cs="Arial"/>
                <w:color w:val="366DB3"/>
                <w:sz w:val="20"/>
                <w:szCs w:val="20"/>
              </w:rPr>
              <w:t>Versione Completa</w:t>
            </w:r>
          </w:p>
          <w:p w14:paraId="40D16668" w14:textId="77777777" w:rsidR="0093709F" w:rsidRDefault="0093709F">
            <w:pPr>
              <w:pBdr>
                <w:top w:val="nil"/>
                <w:left w:val="nil"/>
                <w:bottom w:val="nil"/>
                <w:right w:val="nil"/>
                <w:between w:val="nil"/>
              </w:pBdr>
              <w:spacing w:before="240" w:line="240" w:lineRule="auto"/>
              <w:ind w:left="0" w:right="-30" w:hanging="2"/>
              <w:rPr>
                <w:rFonts w:ascii="Arial" w:eastAsia="Arial" w:hAnsi="Arial" w:cs="Arial"/>
                <w:b/>
                <w:color w:val="366DB3"/>
                <w:sz w:val="20"/>
                <w:szCs w:val="20"/>
              </w:rPr>
            </w:pPr>
          </w:p>
        </w:tc>
      </w:tr>
      <w:tr w:rsidR="0093709F" w14:paraId="4699F570" w14:textId="77777777">
        <w:trPr>
          <w:trHeight w:val="567"/>
        </w:trPr>
        <w:tc>
          <w:tcPr>
            <w:tcW w:w="9670" w:type="dxa"/>
            <w:tcBorders>
              <w:bottom w:val="single" w:sz="4" w:space="0" w:color="366DB3"/>
            </w:tcBorders>
            <w:vAlign w:val="center"/>
          </w:tcPr>
          <w:p w14:paraId="217CAA32" w14:textId="77777777" w:rsidR="0093709F" w:rsidRDefault="00DB7C5E">
            <w:pPr>
              <w:pBdr>
                <w:top w:val="nil"/>
                <w:left w:val="nil"/>
                <w:bottom w:val="nil"/>
                <w:right w:val="nil"/>
                <w:between w:val="nil"/>
              </w:pBdr>
              <w:spacing w:line="240" w:lineRule="auto"/>
              <w:ind w:left="0" w:right="-30" w:hanging="2"/>
              <w:rPr>
                <w:rFonts w:ascii="Arial" w:eastAsia="Arial" w:hAnsi="Arial" w:cs="Arial"/>
                <w:b/>
                <w:color w:val="366DB3"/>
                <w:sz w:val="20"/>
                <w:szCs w:val="20"/>
              </w:rPr>
            </w:pPr>
            <w:proofErr w:type="gramStart"/>
            <w:r>
              <w:rPr>
                <w:rFonts w:ascii="Arial" w:eastAsia="Arial" w:hAnsi="Arial" w:cs="Arial"/>
                <w:b/>
                <w:color w:val="366DB3"/>
                <w:sz w:val="20"/>
                <w:szCs w:val="20"/>
              </w:rPr>
              <w:t>IN BREVE</w:t>
            </w:r>
            <w:proofErr w:type="gramEnd"/>
          </w:p>
        </w:tc>
      </w:tr>
      <w:tr w:rsidR="0093709F" w14:paraId="65719DA8" w14:textId="77777777">
        <w:trPr>
          <w:trHeight w:val="567"/>
        </w:trPr>
        <w:tc>
          <w:tcPr>
            <w:tcW w:w="9670" w:type="dxa"/>
            <w:tcBorders>
              <w:top w:val="single" w:sz="4" w:space="0" w:color="366DB3"/>
            </w:tcBorders>
            <w:shd w:val="clear" w:color="auto" w:fill="FFFFFF"/>
            <w:vAlign w:val="center"/>
          </w:tcPr>
          <w:p w14:paraId="6919E0C1" w14:textId="21EC13FF" w:rsidR="00D40896" w:rsidRDefault="00AE2F3A"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AE2F3A">
              <w:rPr>
                <w:rFonts w:ascii="Arial" w:eastAsia="Arial" w:hAnsi="Arial" w:cs="Arial"/>
                <w:bCs/>
                <w:color w:val="000000"/>
                <w:sz w:val="20"/>
                <w:szCs w:val="20"/>
              </w:rPr>
              <w:t>Pro e contro d</w:t>
            </w:r>
            <w:r w:rsidRPr="00C51F5A">
              <w:rPr>
                <w:rFonts w:ascii="Arial" w:eastAsia="Arial" w:hAnsi="Arial" w:cs="Arial"/>
                <w:bCs/>
                <w:color w:val="000000"/>
                <w:sz w:val="20"/>
                <w:szCs w:val="20"/>
              </w:rPr>
              <w:t>el “</w:t>
            </w:r>
            <w:r w:rsidR="00C51F5A" w:rsidRPr="00C51F5A">
              <w:rPr>
                <w:rFonts w:ascii="Arial" w:eastAsia="Arial" w:hAnsi="Arial" w:cs="Arial"/>
                <w:bCs/>
                <w:color w:val="000000"/>
                <w:sz w:val="20"/>
                <w:szCs w:val="20"/>
              </w:rPr>
              <w:t>r</w:t>
            </w:r>
            <w:r w:rsidRPr="00C51F5A">
              <w:rPr>
                <w:rFonts w:ascii="Arial" w:eastAsia="Arial" w:hAnsi="Arial" w:cs="Arial"/>
                <w:bCs/>
                <w:color w:val="000000"/>
                <w:sz w:val="20"/>
                <w:szCs w:val="20"/>
              </w:rPr>
              <w:t xml:space="preserve">avvedimento </w:t>
            </w:r>
            <w:r w:rsidR="00C51F5A" w:rsidRPr="00C51F5A">
              <w:rPr>
                <w:rFonts w:ascii="Arial" w:eastAsia="Arial" w:hAnsi="Arial" w:cs="Arial"/>
                <w:bCs/>
                <w:color w:val="000000"/>
                <w:sz w:val="20"/>
                <w:szCs w:val="20"/>
              </w:rPr>
              <w:t>s</w:t>
            </w:r>
            <w:r w:rsidRPr="00C51F5A">
              <w:rPr>
                <w:rFonts w:ascii="Arial" w:eastAsia="Arial" w:hAnsi="Arial" w:cs="Arial"/>
                <w:bCs/>
                <w:color w:val="000000"/>
                <w:sz w:val="20"/>
                <w:szCs w:val="20"/>
              </w:rPr>
              <w:t>peciale” 2019-20</w:t>
            </w:r>
            <w:r w:rsidRPr="00AE2F3A">
              <w:rPr>
                <w:rFonts w:ascii="Arial" w:eastAsia="Arial" w:hAnsi="Arial" w:cs="Arial"/>
                <w:bCs/>
                <w:color w:val="000000"/>
                <w:sz w:val="20"/>
                <w:szCs w:val="20"/>
              </w:rPr>
              <w:t>23 per gli aderenti al CPB 2025-2026</w:t>
            </w:r>
          </w:p>
          <w:p w14:paraId="52CCE324" w14:textId="58C155C7" w:rsidR="00AE2F3A" w:rsidRDefault="00E97BA8"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Pr>
                <w:rFonts w:ascii="Arial" w:eastAsia="Arial" w:hAnsi="Arial" w:cs="Arial"/>
                <w:bCs/>
                <w:color w:val="000000"/>
                <w:sz w:val="20"/>
                <w:szCs w:val="20"/>
              </w:rPr>
              <w:t>I rischi della d</w:t>
            </w:r>
            <w:r w:rsidR="00AE2F3A" w:rsidRPr="00AE2F3A">
              <w:rPr>
                <w:rFonts w:ascii="Arial" w:eastAsia="Arial" w:hAnsi="Arial" w:cs="Arial"/>
                <w:bCs/>
                <w:color w:val="000000"/>
                <w:sz w:val="20"/>
                <w:szCs w:val="20"/>
              </w:rPr>
              <w:t>ichiarazione d’intento omessa o tardiva</w:t>
            </w:r>
          </w:p>
          <w:p w14:paraId="5765FDE5" w14:textId="2BC86641" w:rsidR="00EE0D15" w:rsidRPr="00A4723D" w:rsidRDefault="00EE0D15"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E0D15">
              <w:rPr>
                <w:rFonts w:ascii="Arial" w:eastAsia="Arial" w:hAnsi="Arial" w:cs="Arial"/>
                <w:bCs/>
                <w:color w:val="000000"/>
                <w:sz w:val="20"/>
                <w:szCs w:val="20"/>
              </w:rPr>
              <w:t>La Manovra 2026 e il ritor</w:t>
            </w:r>
            <w:r w:rsidRPr="00A4723D">
              <w:rPr>
                <w:rFonts w:ascii="Arial" w:eastAsia="Arial" w:hAnsi="Arial" w:cs="Arial"/>
                <w:bCs/>
                <w:color w:val="000000"/>
                <w:sz w:val="20"/>
                <w:szCs w:val="20"/>
              </w:rPr>
              <w:t>no dell'</w:t>
            </w:r>
            <w:proofErr w:type="spellStart"/>
            <w:r w:rsidR="00C51F5A" w:rsidRPr="00A4723D">
              <w:rPr>
                <w:rFonts w:ascii="Arial" w:eastAsia="Arial" w:hAnsi="Arial" w:cs="Arial"/>
                <w:bCs/>
                <w:color w:val="000000"/>
                <w:sz w:val="20"/>
                <w:szCs w:val="20"/>
              </w:rPr>
              <w:t>i</w:t>
            </w:r>
            <w:r w:rsidRPr="00A4723D">
              <w:rPr>
                <w:rFonts w:ascii="Arial" w:eastAsia="Arial" w:hAnsi="Arial" w:cs="Arial"/>
                <w:bCs/>
                <w:color w:val="000000"/>
                <w:sz w:val="20"/>
                <w:szCs w:val="20"/>
              </w:rPr>
              <w:t>perammortamento</w:t>
            </w:r>
            <w:proofErr w:type="spellEnd"/>
          </w:p>
          <w:p w14:paraId="3B295108" w14:textId="369D5044" w:rsidR="00E478C0" w:rsidRPr="00694F1F"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694F1F">
              <w:rPr>
                <w:rFonts w:ascii="Arial" w:eastAsia="Arial" w:hAnsi="Arial" w:cs="Arial"/>
                <w:bCs/>
                <w:color w:val="000000"/>
                <w:sz w:val="20"/>
                <w:szCs w:val="20"/>
              </w:rPr>
              <w:t xml:space="preserve">Split </w:t>
            </w:r>
            <w:r w:rsidR="00C51F5A" w:rsidRPr="00694F1F">
              <w:rPr>
                <w:rFonts w:ascii="Arial" w:eastAsia="Arial" w:hAnsi="Arial" w:cs="Arial"/>
                <w:bCs/>
                <w:color w:val="000000"/>
                <w:sz w:val="20"/>
                <w:szCs w:val="20"/>
              </w:rPr>
              <w:t>p</w:t>
            </w:r>
            <w:r w:rsidRPr="00694F1F">
              <w:rPr>
                <w:rFonts w:ascii="Arial" w:eastAsia="Arial" w:hAnsi="Arial" w:cs="Arial"/>
                <w:bCs/>
                <w:color w:val="000000"/>
                <w:sz w:val="20"/>
                <w:szCs w:val="20"/>
              </w:rPr>
              <w:t>ayment: il MEF pubblica gli elenchi 2026</w:t>
            </w:r>
          </w:p>
          <w:p w14:paraId="63B4CC87" w14:textId="080315C2" w:rsidR="00E478C0" w:rsidRPr="00694F1F"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694F1F">
              <w:rPr>
                <w:rFonts w:ascii="Arial" w:eastAsia="Arial" w:hAnsi="Arial" w:cs="Arial"/>
                <w:bCs/>
                <w:color w:val="000000"/>
                <w:sz w:val="20"/>
                <w:szCs w:val="20"/>
              </w:rPr>
              <w:t>CPB</w:t>
            </w:r>
            <w:r w:rsidRPr="00E478C0">
              <w:rPr>
                <w:rFonts w:ascii="Arial" w:eastAsia="Arial" w:hAnsi="Arial" w:cs="Arial"/>
                <w:bCs/>
                <w:color w:val="000000"/>
                <w:sz w:val="20"/>
                <w:szCs w:val="20"/>
              </w:rPr>
              <w:t>: chiariment</w:t>
            </w:r>
            <w:r w:rsidRPr="00694F1F">
              <w:rPr>
                <w:rFonts w:ascii="Arial" w:eastAsia="Arial" w:hAnsi="Arial" w:cs="Arial"/>
                <w:bCs/>
                <w:color w:val="000000"/>
                <w:sz w:val="20"/>
                <w:szCs w:val="20"/>
              </w:rPr>
              <w:t xml:space="preserve">i dell’Agenzia </w:t>
            </w:r>
            <w:r w:rsidR="00C51F5A" w:rsidRPr="00694F1F">
              <w:rPr>
                <w:rFonts w:ascii="Arial" w:eastAsia="Arial" w:hAnsi="Arial" w:cs="Arial"/>
                <w:bCs/>
                <w:color w:val="000000"/>
                <w:sz w:val="20"/>
                <w:szCs w:val="20"/>
              </w:rPr>
              <w:t xml:space="preserve">delle </w:t>
            </w:r>
            <w:r w:rsidRPr="00694F1F">
              <w:rPr>
                <w:rFonts w:ascii="Arial" w:eastAsia="Arial" w:hAnsi="Arial" w:cs="Arial"/>
                <w:bCs/>
                <w:color w:val="000000"/>
                <w:sz w:val="20"/>
                <w:szCs w:val="20"/>
              </w:rPr>
              <w:t>Entrate sull’esonero dal visto di conformità I</w:t>
            </w:r>
            <w:r w:rsidR="00C51F5A" w:rsidRPr="00694F1F">
              <w:rPr>
                <w:rFonts w:ascii="Arial" w:eastAsia="Arial" w:hAnsi="Arial" w:cs="Arial"/>
                <w:bCs/>
                <w:color w:val="000000"/>
                <w:sz w:val="20"/>
                <w:szCs w:val="20"/>
              </w:rPr>
              <w:t>VA</w:t>
            </w:r>
          </w:p>
          <w:p w14:paraId="7A3FB6AC" w14:textId="56F21EC3" w:rsidR="00E478C0" w:rsidRDefault="00C51F5A"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AE6829">
              <w:rPr>
                <w:rFonts w:ascii="Arial" w:eastAsia="Arial" w:hAnsi="Arial" w:cs="Arial"/>
                <w:bCs/>
                <w:color w:val="000000"/>
                <w:sz w:val="20"/>
                <w:szCs w:val="20"/>
              </w:rPr>
              <w:t>A</w:t>
            </w:r>
            <w:r w:rsidR="00E478C0" w:rsidRPr="00AE6829">
              <w:rPr>
                <w:rFonts w:ascii="Arial" w:eastAsia="Arial" w:hAnsi="Arial" w:cs="Arial"/>
                <w:bCs/>
                <w:color w:val="000000"/>
                <w:sz w:val="20"/>
                <w:szCs w:val="20"/>
              </w:rPr>
              <w:t>ggiornate le regole sul co</w:t>
            </w:r>
            <w:r w:rsidR="00E478C0" w:rsidRPr="00E478C0">
              <w:rPr>
                <w:rFonts w:ascii="Arial" w:eastAsia="Arial" w:hAnsi="Arial" w:cs="Arial"/>
                <w:bCs/>
                <w:color w:val="000000"/>
                <w:sz w:val="20"/>
                <w:szCs w:val="20"/>
              </w:rPr>
              <w:t>ntrassegno telematico sostitutivo della marca da bollo</w:t>
            </w:r>
          </w:p>
          <w:p w14:paraId="23E99320" w14:textId="77777777" w:rsidR="00E478C0"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478C0">
              <w:rPr>
                <w:rFonts w:ascii="Arial" w:eastAsia="Arial" w:hAnsi="Arial" w:cs="Arial"/>
                <w:bCs/>
                <w:color w:val="000000"/>
                <w:sz w:val="20"/>
                <w:szCs w:val="20"/>
              </w:rPr>
              <w:t>Bonus ricerca e sviluppo: la Corte tributaria chiarisce i limiti per l’ammissibilità delle attività agevolabili</w:t>
            </w:r>
          </w:p>
          <w:p w14:paraId="2D2FD658" w14:textId="1F1BAB39" w:rsidR="00E478C0"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478C0">
              <w:rPr>
                <w:rFonts w:ascii="Arial" w:eastAsia="Arial" w:hAnsi="Arial" w:cs="Arial"/>
                <w:bCs/>
                <w:color w:val="000000"/>
                <w:sz w:val="20"/>
                <w:szCs w:val="20"/>
              </w:rPr>
              <w:t>Rimborsi spese a</w:t>
            </w:r>
            <w:r w:rsidRPr="00281492">
              <w:rPr>
                <w:rFonts w:ascii="Arial" w:eastAsia="Arial" w:hAnsi="Arial" w:cs="Arial"/>
                <w:bCs/>
                <w:color w:val="000000"/>
                <w:sz w:val="20"/>
                <w:szCs w:val="20"/>
              </w:rPr>
              <w:t xml:space="preserve">nalitici </w:t>
            </w:r>
            <w:r w:rsidR="00C51F5A" w:rsidRPr="00281492">
              <w:rPr>
                <w:rFonts w:ascii="Arial" w:eastAsia="Arial" w:hAnsi="Arial" w:cs="Arial"/>
                <w:bCs/>
                <w:color w:val="000000"/>
                <w:sz w:val="20"/>
                <w:szCs w:val="20"/>
              </w:rPr>
              <w:t>p</w:t>
            </w:r>
            <w:r w:rsidRPr="00281492">
              <w:rPr>
                <w:rFonts w:ascii="Arial" w:eastAsia="Arial" w:hAnsi="Arial" w:cs="Arial"/>
                <w:bCs/>
                <w:color w:val="000000"/>
                <w:sz w:val="20"/>
                <w:szCs w:val="20"/>
              </w:rPr>
              <w:t>rofessionisti: dal 2025 fuori</w:t>
            </w:r>
            <w:r w:rsidRPr="00E478C0">
              <w:rPr>
                <w:rFonts w:ascii="Arial" w:eastAsia="Arial" w:hAnsi="Arial" w:cs="Arial"/>
                <w:bCs/>
                <w:color w:val="000000"/>
                <w:sz w:val="20"/>
                <w:szCs w:val="20"/>
              </w:rPr>
              <w:t xml:space="preserve"> dai compensi</w:t>
            </w:r>
          </w:p>
          <w:p w14:paraId="79E85053" w14:textId="77777777" w:rsidR="00E478C0"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478C0">
              <w:rPr>
                <w:rFonts w:ascii="Arial" w:eastAsia="Arial" w:hAnsi="Arial" w:cs="Arial"/>
                <w:bCs/>
                <w:color w:val="000000"/>
                <w:sz w:val="20"/>
                <w:szCs w:val="20"/>
              </w:rPr>
              <w:t>Bonus elettrodomestici: al via le registrazioni di produttori e venditori</w:t>
            </w:r>
          </w:p>
          <w:p w14:paraId="7D068B04" w14:textId="4C236BE4" w:rsidR="00E478C0"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478C0">
              <w:rPr>
                <w:rFonts w:ascii="Arial" w:eastAsia="Arial" w:hAnsi="Arial" w:cs="Arial"/>
                <w:bCs/>
                <w:color w:val="000000"/>
                <w:sz w:val="20"/>
                <w:szCs w:val="20"/>
              </w:rPr>
              <w:t xml:space="preserve">L’acquisto della casa: pubblicata la </w:t>
            </w:r>
            <w:r w:rsidR="007F2CCB">
              <w:rPr>
                <w:rFonts w:ascii="Arial" w:eastAsia="Arial" w:hAnsi="Arial" w:cs="Arial"/>
                <w:bCs/>
                <w:color w:val="000000"/>
                <w:sz w:val="20"/>
                <w:szCs w:val="20"/>
              </w:rPr>
              <w:t>G</w:t>
            </w:r>
            <w:r w:rsidRPr="00E478C0">
              <w:rPr>
                <w:rFonts w:ascii="Arial" w:eastAsia="Arial" w:hAnsi="Arial" w:cs="Arial"/>
                <w:bCs/>
                <w:color w:val="000000"/>
                <w:sz w:val="20"/>
                <w:szCs w:val="20"/>
              </w:rPr>
              <w:t>uida aggiornata delle Entrate su imposte e agevolazioni fiscali</w:t>
            </w:r>
          </w:p>
          <w:p w14:paraId="766395AA" w14:textId="6B6A4956" w:rsidR="00E478C0" w:rsidRPr="007F1556" w:rsidRDefault="00E478C0"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478C0">
              <w:rPr>
                <w:rFonts w:ascii="Arial" w:eastAsia="Arial" w:hAnsi="Arial" w:cs="Arial"/>
                <w:bCs/>
                <w:color w:val="000000"/>
                <w:sz w:val="20"/>
                <w:szCs w:val="20"/>
              </w:rPr>
              <w:t>Regime impatriati: chiarimenti su residenza all’estero e attività lavorative in Italia</w:t>
            </w:r>
          </w:p>
        </w:tc>
      </w:tr>
      <w:tr w:rsidR="0093709F" w14:paraId="48E299F5" w14:textId="77777777">
        <w:trPr>
          <w:trHeight w:val="567"/>
        </w:trPr>
        <w:tc>
          <w:tcPr>
            <w:tcW w:w="9670" w:type="dxa"/>
            <w:tcBorders>
              <w:bottom w:val="single" w:sz="4" w:space="0" w:color="366DB3"/>
            </w:tcBorders>
            <w:vAlign w:val="center"/>
          </w:tcPr>
          <w:p w14:paraId="52BA1C75" w14:textId="77777777" w:rsidR="0093709F" w:rsidRDefault="00DB7C5E">
            <w:pPr>
              <w:pBdr>
                <w:top w:val="nil"/>
                <w:left w:val="nil"/>
                <w:bottom w:val="nil"/>
                <w:right w:val="nil"/>
                <w:between w:val="nil"/>
              </w:pBdr>
              <w:spacing w:line="240" w:lineRule="auto"/>
              <w:ind w:left="0" w:right="-30" w:hanging="2"/>
              <w:rPr>
                <w:rFonts w:ascii="Arial" w:eastAsia="Arial" w:hAnsi="Arial" w:cs="Arial"/>
                <w:b/>
                <w:color w:val="366DB3"/>
                <w:sz w:val="20"/>
                <w:szCs w:val="20"/>
              </w:rPr>
            </w:pPr>
            <w:r>
              <w:rPr>
                <w:rFonts w:ascii="Arial" w:eastAsia="Arial" w:hAnsi="Arial" w:cs="Arial"/>
                <w:b/>
                <w:color w:val="366DB3"/>
                <w:sz w:val="20"/>
                <w:szCs w:val="20"/>
              </w:rPr>
              <w:t>APPROFONDIMENTI</w:t>
            </w:r>
          </w:p>
        </w:tc>
      </w:tr>
      <w:tr w:rsidR="0093709F" w14:paraId="02F252BE" w14:textId="77777777">
        <w:trPr>
          <w:trHeight w:val="567"/>
        </w:trPr>
        <w:tc>
          <w:tcPr>
            <w:tcW w:w="9670" w:type="dxa"/>
            <w:tcBorders>
              <w:top w:val="single" w:sz="4" w:space="0" w:color="366DB3"/>
            </w:tcBorders>
            <w:vAlign w:val="center"/>
          </w:tcPr>
          <w:p w14:paraId="4BD41125" w14:textId="41AB7A5C" w:rsidR="002E11D4" w:rsidRPr="00064C81" w:rsidRDefault="00064C81"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064C81">
              <w:rPr>
                <w:rFonts w:ascii="Arial" w:eastAsia="Arial" w:hAnsi="Arial" w:cs="Arial"/>
                <w:bCs/>
                <w:color w:val="000000"/>
                <w:sz w:val="20"/>
                <w:szCs w:val="20"/>
              </w:rPr>
              <w:t>Il</w:t>
            </w:r>
            <w:r w:rsidR="00AE2F3A" w:rsidRPr="00064C81">
              <w:rPr>
                <w:rFonts w:ascii="Arial" w:eastAsia="Arial" w:hAnsi="Arial" w:cs="Arial"/>
                <w:bCs/>
                <w:color w:val="000000"/>
                <w:sz w:val="20"/>
                <w:szCs w:val="20"/>
              </w:rPr>
              <w:t xml:space="preserve"> “</w:t>
            </w:r>
            <w:r w:rsidRPr="00064C81">
              <w:rPr>
                <w:rFonts w:ascii="Arial" w:eastAsia="Arial" w:hAnsi="Arial" w:cs="Arial"/>
                <w:bCs/>
                <w:color w:val="000000"/>
                <w:sz w:val="20"/>
                <w:szCs w:val="20"/>
              </w:rPr>
              <w:t>r</w:t>
            </w:r>
            <w:r w:rsidR="00AE2F3A" w:rsidRPr="00064C81">
              <w:rPr>
                <w:rFonts w:ascii="Arial" w:eastAsia="Arial" w:hAnsi="Arial" w:cs="Arial"/>
                <w:bCs/>
                <w:color w:val="000000"/>
                <w:sz w:val="20"/>
                <w:szCs w:val="20"/>
              </w:rPr>
              <w:t>avvedimento Speciale” 2019-2023 per gli aderenti al CPB 2025-2026</w:t>
            </w:r>
          </w:p>
          <w:p w14:paraId="338B52C0" w14:textId="1C08C024" w:rsidR="00AE2F3A" w:rsidRPr="00CE5C0C" w:rsidRDefault="00AE2F3A" w:rsidP="009C475F">
            <w:pPr>
              <w:pStyle w:val="Paragrafoelenco"/>
              <w:numPr>
                <w:ilvl w:val="0"/>
                <w:numId w:val="3"/>
              </w:numPr>
              <w:pBdr>
                <w:top w:val="nil"/>
                <w:left w:val="nil"/>
                <w:bottom w:val="nil"/>
                <w:right w:val="nil"/>
                <w:between w:val="nil"/>
              </w:pBdr>
              <w:spacing w:before="120" w:after="120" w:line="360" w:lineRule="auto"/>
              <w:ind w:leftChars="0" w:right="-28" w:firstLineChars="0"/>
              <w:rPr>
                <w:rFonts w:ascii="Arial" w:eastAsia="Arial" w:hAnsi="Arial" w:cs="Arial"/>
                <w:bCs/>
                <w:color w:val="000000"/>
                <w:sz w:val="20"/>
                <w:szCs w:val="20"/>
              </w:rPr>
            </w:pPr>
            <w:r w:rsidRPr="00E97BA8">
              <w:rPr>
                <w:rFonts w:ascii="Arial" w:eastAsia="Arial" w:hAnsi="Arial" w:cs="Arial"/>
                <w:bCs/>
                <w:color w:val="000000"/>
                <w:sz w:val="20"/>
                <w:szCs w:val="20"/>
              </w:rPr>
              <w:t>Dichiarazione d’intento omessa o tardiva: rischi e soluzioni per il fornitore</w:t>
            </w:r>
          </w:p>
        </w:tc>
      </w:tr>
    </w:tbl>
    <w:tbl>
      <w:tblPr>
        <w:tblStyle w:val="a0"/>
        <w:tblW w:w="9670" w:type="dxa"/>
        <w:tblInd w:w="0" w:type="dxa"/>
        <w:tblLayout w:type="fixed"/>
        <w:tblLook w:val="0000" w:firstRow="0" w:lastRow="0" w:firstColumn="0" w:lastColumn="0" w:noHBand="0" w:noVBand="0"/>
      </w:tblPr>
      <w:tblGrid>
        <w:gridCol w:w="9670"/>
      </w:tblGrid>
      <w:tr w:rsidR="0093709F" w14:paraId="3361C925" w14:textId="77777777">
        <w:trPr>
          <w:trHeight w:val="567"/>
        </w:trPr>
        <w:tc>
          <w:tcPr>
            <w:tcW w:w="9670" w:type="dxa"/>
            <w:tcBorders>
              <w:bottom w:val="single" w:sz="4" w:space="0" w:color="366DB3"/>
            </w:tcBorders>
            <w:vAlign w:val="center"/>
          </w:tcPr>
          <w:p w14:paraId="7A553F14" w14:textId="77777777" w:rsidR="0093709F" w:rsidRDefault="00DB7C5E">
            <w:pPr>
              <w:pBdr>
                <w:top w:val="nil"/>
                <w:left w:val="nil"/>
                <w:bottom w:val="nil"/>
                <w:right w:val="nil"/>
                <w:between w:val="nil"/>
              </w:pBdr>
              <w:spacing w:line="240" w:lineRule="auto"/>
              <w:ind w:left="0" w:right="-30" w:hanging="2"/>
              <w:rPr>
                <w:rFonts w:ascii="Arial" w:eastAsia="Arial" w:hAnsi="Arial" w:cs="Arial"/>
                <w:b/>
                <w:color w:val="366DB3"/>
                <w:sz w:val="20"/>
                <w:szCs w:val="20"/>
              </w:rPr>
            </w:pPr>
            <w:r>
              <w:rPr>
                <w:rFonts w:ascii="Arial" w:eastAsia="Arial" w:hAnsi="Arial" w:cs="Arial"/>
                <w:b/>
                <w:color w:val="366DB3"/>
                <w:sz w:val="20"/>
                <w:szCs w:val="20"/>
              </w:rPr>
              <w:t>PRINCIPALI SCADENZE</w:t>
            </w:r>
          </w:p>
        </w:tc>
      </w:tr>
      <w:tr w:rsidR="0093709F" w14:paraId="287505EC" w14:textId="77777777">
        <w:trPr>
          <w:trHeight w:val="567"/>
        </w:trPr>
        <w:tc>
          <w:tcPr>
            <w:tcW w:w="9670" w:type="dxa"/>
            <w:tcBorders>
              <w:top w:val="single" w:sz="4" w:space="0" w:color="366DB3"/>
            </w:tcBorders>
            <w:vAlign w:val="center"/>
          </w:tcPr>
          <w:p w14:paraId="496E530D" w14:textId="77777777" w:rsidR="0093709F" w:rsidRDefault="0093709F">
            <w:pPr>
              <w:pBdr>
                <w:top w:val="nil"/>
                <w:left w:val="nil"/>
                <w:bottom w:val="nil"/>
                <w:right w:val="nil"/>
                <w:between w:val="nil"/>
              </w:pBdr>
              <w:spacing w:before="120" w:after="120" w:line="240" w:lineRule="auto"/>
              <w:ind w:left="0" w:right="-28" w:hanging="2"/>
              <w:rPr>
                <w:rFonts w:ascii="Arial" w:eastAsia="Arial" w:hAnsi="Arial" w:cs="Arial"/>
                <w:color w:val="000000"/>
                <w:sz w:val="20"/>
                <w:szCs w:val="20"/>
              </w:rPr>
            </w:pPr>
          </w:p>
        </w:tc>
      </w:tr>
      <w:tr w:rsidR="0093709F" w14:paraId="034C7027" w14:textId="77777777">
        <w:trPr>
          <w:trHeight w:val="567"/>
        </w:trPr>
        <w:tc>
          <w:tcPr>
            <w:tcW w:w="9670" w:type="dxa"/>
            <w:vAlign w:val="center"/>
          </w:tcPr>
          <w:p w14:paraId="2C70ED4D" w14:textId="77777777" w:rsidR="0093709F" w:rsidRDefault="0093709F">
            <w:pPr>
              <w:pBdr>
                <w:top w:val="nil"/>
                <w:left w:val="nil"/>
                <w:bottom w:val="nil"/>
                <w:right w:val="nil"/>
                <w:between w:val="nil"/>
              </w:pBdr>
              <w:spacing w:line="240" w:lineRule="auto"/>
              <w:ind w:left="0" w:right="-30" w:hanging="2"/>
              <w:rPr>
                <w:rFonts w:ascii="Arial" w:eastAsia="Arial" w:hAnsi="Arial" w:cs="Arial"/>
                <w:color w:val="000000"/>
                <w:sz w:val="20"/>
                <w:szCs w:val="20"/>
              </w:rPr>
            </w:pPr>
          </w:p>
        </w:tc>
      </w:tr>
      <w:tr w:rsidR="0093709F" w14:paraId="47BC34AB" w14:textId="77777777">
        <w:trPr>
          <w:trHeight w:val="567"/>
        </w:trPr>
        <w:tc>
          <w:tcPr>
            <w:tcW w:w="9670" w:type="dxa"/>
            <w:vAlign w:val="center"/>
          </w:tcPr>
          <w:p w14:paraId="26773F18" w14:textId="77777777" w:rsidR="0093709F" w:rsidRDefault="0093709F">
            <w:pPr>
              <w:pBdr>
                <w:top w:val="nil"/>
                <w:left w:val="nil"/>
                <w:bottom w:val="nil"/>
                <w:right w:val="nil"/>
                <w:between w:val="nil"/>
              </w:pBdr>
              <w:spacing w:line="240" w:lineRule="auto"/>
              <w:ind w:left="0" w:right="-30" w:hanging="2"/>
              <w:rPr>
                <w:rFonts w:ascii="Arial" w:eastAsia="Arial" w:hAnsi="Arial" w:cs="Arial"/>
                <w:color w:val="000000"/>
                <w:sz w:val="20"/>
                <w:szCs w:val="20"/>
              </w:rPr>
            </w:pPr>
          </w:p>
        </w:tc>
      </w:tr>
    </w:tbl>
    <w:p w14:paraId="1A3D5067" w14:textId="77777777" w:rsidR="0093709F" w:rsidRDefault="0093709F">
      <w:pPr>
        <w:pBdr>
          <w:top w:val="nil"/>
          <w:left w:val="nil"/>
          <w:bottom w:val="nil"/>
          <w:right w:val="nil"/>
          <w:between w:val="nil"/>
        </w:pBdr>
        <w:spacing w:line="240" w:lineRule="auto"/>
        <w:ind w:left="0" w:hanging="2"/>
        <w:jc w:val="center"/>
        <w:rPr>
          <w:color w:val="000000"/>
        </w:rPr>
        <w:sectPr w:rsidR="0093709F">
          <w:headerReference w:type="default" r:id="rId9"/>
          <w:footerReference w:type="even" r:id="rId10"/>
          <w:footerReference w:type="default" r:id="rId11"/>
          <w:pgSz w:w="11906" w:h="16838"/>
          <w:pgMar w:top="1418" w:right="1134" w:bottom="1134" w:left="1134" w:header="709" w:footer="709" w:gutter="0"/>
          <w:pgNumType w:start="1"/>
          <w:cols w:space="720"/>
        </w:sectPr>
      </w:pPr>
    </w:p>
    <w:tbl>
      <w:tblPr>
        <w:tblStyle w:val="a1"/>
        <w:tblW w:w="9670" w:type="dxa"/>
        <w:tblInd w:w="0" w:type="dxa"/>
        <w:tblLayout w:type="fixed"/>
        <w:tblLook w:val="0000" w:firstRow="0" w:lastRow="0" w:firstColumn="0" w:lastColumn="0" w:noHBand="0" w:noVBand="0"/>
      </w:tblPr>
      <w:tblGrid>
        <w:gridCol w:w="9670"/>
      </w:tblGrid>
      <w:tr w:rsidR="0093709F" w14:paraId="6F958CB4" w14:textId="77777777">
        <w:trPr>
          <w:trHeight w:val="567"/>
        </w:trPr>
        <w:tc>
          <w:tcPr>
            <w:tcW w:w="9670" w:type="dxa"/>
            <w:tcBorders>
              <w:bottom w:val="single" w:sz="4" w:space="0" w:color="366DB3"/>
            </w:tcBorders>
            <w:vAlign w:val="center"/>
          </w:tcPr>
          <w:p w14:paraId="2F2312D0" w14:textId="77777777" w:rsidR="0093709F" w:rsidRDefault="00DB7C5E">
            <w:pPr>
              <w:pBdr>
                <w:top w:val="nil"/>
                <w:left w:val="nil"/>
                <w:bottom w:val="nil"/>
                <w:right w:val="nil"/>
                <w:between w:val="nil"/>
              </w:pBdr>
              <w:spacing w:line="240" w:lineRule="auto"/>
              <w:ind w:left="1" w:right="-30" w:hanging="3"/>
              <w:jc w:val="center"/>
              <w:rPr>
                <w:rFonts w:ascii="Arial" w:eastAsia="Arial" w:hAnsi="Arial" w:cs="Arial"/>
                <w:b/>
                <w:color w:val="366DB3"/>
                <w:sz w:val="28"/>
                <w:szCs w:val="28"/>
              </w:rPr>
            </w:pPr>
            <w:proofErr w:type="gramStart"/>
            <w:r>
              <w:rPr>
                <w:rFonts w:ascii="Arial" w:eastAsia="Arial" w:hAnsi="Arial" w:cs="Arial"/>
                <w:b/>
                <w:color w:val="366DB3"/>
                <w:sz w:val="28"/>
                <w:szCs w:val="28"/>
              </w:rPr>
              <w:lastRenderedPageBreak/>
              <w:t>IN BREVE</w:t>
            </w:r>
            <w:proofErr w:type="gramEnd"/>
          </w:p>
        </w:tc>
      </w:tr>
    </w:tbl>
    <w:p w14:paraId="7A7A9569" w14:textId="77777777" w:rsidR="0093709F" w:rsidRPr="00C51F5A" w:rsidRDefault="0093709F" w:rsidP="00C51F5A">
      <w:pPr>
        <w:pStyle w:val="titolodocumento"/>
        <w:suppressAutoHyphens w:val="0"/>
        <w:spacing w:line="300" w:lineRule="atLeast"/>
        <w:ind w:leftChars="0" w:left="0" w:firstLineChars="0" w:firstLine="0"/>
        <w:jc w:val="both"/>
        <w:textAlignment w:val="auto"/>
        <w:outlineLvl w:val="9"/>
        <w:rPr>
          <w:rFonts w:ascii="Arial" w:hAnsi="Arial" w:cs="Arial"/>
          <w:b w:val="0"/>
          <w:imprint w:val="0"/>
          <w:color w:val="auto"/>
          <w:position w:val="0"/>
          <w:sz w:val="20"/>
          <w:szCs w:val="20"/>
        </w:rPr>
      </w:pPr>
      <w:bookmarkStart w:id="0" w:name="_heading=h.gjdgxs" w:colFirst="0" w:colLast="0"/>
      <w:bookmarkEnd w:id="0"/>
    </w:p>
    <w:tbl>
      <w:tblPr>
        <w:tblStyle w:val="a3"/>
        <w:tblW w:w="10620" w:type="dxa"/>
        <w:tblInd w:w="0" w:type="dxa"/>
        <w:tblLayout w:type="fixed"/>
        <w:tblLook w:val="0000" w:firstRow="0" w:lastRow="0" w:firstColumn="0" w:lastColumn="0" w:noHBand="0" w:noVBand="0"/>
      </w:tblPr>
      <w:tblGrid>
        <w:gridCol w:w="3700"/>
        <w:gridCol w:w="1120"/>
        <w:gridCol w:w="5800"/>
      </w:tblGrid>
      <w:tr w:rsidR="0093709F" w14:paraId="0AE6B136" w14:textId="77777777">
        <w:trPr>
          <w:trHeight w:val="255"/>
        </w:trPr>
        <w:tc>
          <w:tcPr>
            <w:tcW w:w="10620" w:type="dxa"/>
            <w:gridSpan w:val="3"/>
            <w:tcBorders>
              <w:top w:val="nil"/>
              <w:left w:val="nil"/>
              <w:bottom w:val="nil"/>
              <w:right w:val="nil"/>
            </w:tcBorders>
          </w:tcPr>
          <w:p w14:paraId="4BC2CAB0"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93709F" w14:paraId="750A13D9" w14:textId="77777777">
        <w:trPr>
          <w:trHeight w:val="255"/>
        </w:trPr>
        <w:tc>
          <w:tcPr>
            <w:tcW w:w="10620" w:type="dxa"/>
            <w:gridSpan w:val="3"/>
            <w:tcBorders>
              <w:top w:val="nil"/>
              <w:left w:val="nil"/>
              <w:bottom w:val="nil"/>
              <w:right w:val="nil"/>
            </w:tcBorders>
          </w:tcPr>
          <w:p w14:paraId="4F290DFA"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93709F" w14:paraId="3B5728B2" w14:textId="77777777">
        <w:trPr>
          <w:trHeight w:val="255"/>
        </w:trPr>
        <w:tc>
          <w:tcPr>
            <w:tcW w:w="10620" w:type="dxa"/>
            <w:gridSpan w:val="3"/>
            <w:tcBorders>
              <w:top w:val="nil"/>
              <w:left w:val="nil"/>
              <w:bottom w:val="nil"/>
              <w:right w:val="nil"/>
            </w:tcBorders>
          </w:tcPr>
          <w:p w14:paraId="1EA8587B"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Condomini</w:t>
            </w:r>
          </w:p>
        </w:tc>
      </w:tr>
      <w:tr w:rsidR="0093709F" w14:paraId="1E7B9ADB" w14:textId="77777777">
        <w:trPr>
          <w:trHeight w:val="255"/>
        </w:trPr>
        <w:tc>
          <w:tcPr>
            <w:tcW w:w="10620" w:type="dxa"/>
            <w:gridSpan w:val="3"/>
            <w:tcBorders>
              <w:top w:val="nil"/>
              <w:left w:val="nil"/>
              <w:bottom w:val="nil"/>
              <w:right w:val="nil"/>
            </w:tcBorders>
          </w:tcPr>
          <w:p w14:paraId="19C10F7B"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93709F" w14:paraId="557A5EC1" w14:textId="77777777">
        <w:trPr>
          <w:trHeight w:val="255"/>
        </w:trPr>
        <w:tc>
          <w:tcPr>
            <w:tcW w:w="10620" w:type="dxa"/>
            <w:gridSpan w:val="3"/>
            <w:tcBorders>
              <w:top w:val="nil"/>
              <w:left w:val="nil"/>
              <w:bottom w:val="nil"/>
              <w:right w:val="nil"/>
            </w:tcBorders>
          </w:tcPr>
          <w:p w14:paraId="06F08DBE"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93709F" w14:paraId="459C8437" w14:textId="77777777">
        <w:trPr>
          <w:trHeight w:val="255"/>
        </w:trPr>
        <w:tc>
          <w:tcPr>
            <w:tcW w:w="10620" w:type="dxa"/>
            <w:gridSpan w:val="3"/>
            <w:tcBorders>
              <w:top w:val="nil"/>
              <w:left w:val="nil"/>
              <w:bottom w:val="nil"/>
              <w:right w:val="nil"/>
            </w:tcBorders>
          </w:tcPr>
          <w:p w14:paraId="5291FCCF"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93709F" w14:paraId="438BF4FD" w14:textId="77777777">
        <w:trPr>
          <w:trHeight w:val="255"/>
        </w:trPr>
        <w:tc>
          <w:tcPr>
            <w:tcW w:w="10620" w:type="dxa"/>
            <w:gridSpan w:val="3"/>
            <w:tcBorders>
              <w:top w:val="nil"/>
              <w:left w:val="nil"/>
              <w:bottom w:val="nil"/>
              <w:right w:val="nil"/>
            </w:tcBorders>
          </w:tcPr>
          <w:p w14:paraId="208904DA"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E11D4">
              <w:rPr>
                <w:rFonts w:ascii="Calibri" w:eastAsia="Calibri" w:hAnsi="Calibri" w:cs="Calibri"/>
                <w:color w:val="330033"/>
                <w:sz w:val="20"/>
                <w:szCs w:val="20"/>
              </w:rPr>
              <w:t>Persone fisiche</w:t>
            </w:r>
          </w:p>
        </w:tc>
      </w:tr>
      <w:tr w:rsidR="0093709F" w14:paraId="6D7363D8" w14:textId="77777777">
        <w:trPr>
          <w:trHeight w:val="255"/>
        </w:trPr>
        <w:tc>
          <w:tcPr>
            <w:tcW w:w="10620" w:type="dxa"/>
            <w:gridSpan w:val="3"/>
            <w:tcBorders>
              <w:top w:val="nil"/>
              <w:left w:val="nil"/>
              <w:bottom w:val="nil"/>
              <w:right w:val="nil"/>
            </w:tcBorders>
          </w:tcPr>
          <w:p w14:paraId="6B4266EC"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93709F" w14:paraId="2E82B011" w14:textId="77777777">
        <w:trPr>
          <w:trHeight w:val="255"/>
        </w:trPr>
        <w:tc>
          <w:tcPr>
            <w:tcW w:w="10620" w:type="dxa"/>
            <w:gridSpan w:val="3"/>
            <w:tcBorders>
              <w:top w:val="nil"/>
              <w:left w:val="nil"/>
              <w:bottom w:val="nil"/>
              <w:right w:val="nil"/>
            </w:tcBorders>
          </w:tcPr>
          <w:p w14:paraId="7ECA35E6"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persone</w:t>
            </w:r>
          </w:p>
        </w:tc>
      </w:tr>
      <w:tr w:rsidR="0093709F" w14:paraId="5D0DEC7A" w14:textId="77777777">
        <w:trPr>
          <w:trHeight w:val="300"/>
        </w:trPr>
        <w:tc>
          <w:tcPr>
            <w:tcW w:w="3700" w:type="dxa"/>
            <w:tcBorders>
              <w:top w:val="single" w:sz="4" w:space="0" w:color="000000"/>
              <w:left w:val="single" w:sz="4" w:space="0" w:color="000000"/>
              <w:bottom w:val="single" w:sz="4" w:space="0" w:color="000000"/>
              <w:right w:val="single" w:sz="4" w:space="0" w:color="000000"/>
            </w:tcBorders>
          </w:tcPr>
          <w:p w14:paraId="66A94B39"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4" w:space="0" w:color="000000"/>
              <w:right w:val="single" w:sz="4" w:space="0" w:color="000000"/>
            </w:tcBorders>
          </w:tcPr>
          <w:p w14:paraId="07B7BBC0"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5800" w:type="dxa"/>
            <w:tcBorders>
              <w:top w:val="single" w:sz="4" w:space="0" w:color="000000"/>
              <w:left w:val="nil"/>
              <w:bottom w:val="single" w:sz="4" w:space="0" w:color="000000"/>
              <w:right w:val="single" w:sz="4" w:space="0" w:color="000000"/>
            </w:tcBorders>
          </w:tcPr>
          <w:p w14:paraId="2EAA79C3"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7A35FED3" w14:textId="77777777" w:rsidR="0093709F" w:rsidRDefault="0093709F" w:rsidP="00C51F5A">
      <w:pPr>
        <w:pStyle w:val="titolodocumento"/>
        <w:suppressAutoHyphens w:val="0"/>
        <w:spacing w:line="300" w:lineRule="atLeast"/>
        <w:ind w:leftChars="0" w:left="0" w:firstLineChars="0" w:firstLine="0"/>
        <w:jc w:val="both"/>
        <w:textAlignment w:val="auto"/>
        <w:outlineLvl w:val="9"/>
        <w:rPr>
          <w:rFonts w:ascii="Arial" w:hAnsi="Arial" w:cs="Arial"/>
          <w:b w:val="0"/>
          <w:imprint w:val="0"/>
          <w:color w:val="auto"/>
          <w:position w:val="0"/>
          <w:sz w:val="20"/>
          <w:szCs w:val="20"/>
        </w:rPr>
      </w:pPr>
    </w:p>
    <w:p w14:paraId="5CBF0D0F" w14:textId="77777777" w:rsidR="00C51F5A" w:rsidRPr="00953361" w:rsidRDefault="00C51F5A" w:rsidP="00C51F5A">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953361">
        <w:rPr>
          <w:rFonts w:ascii="Calibri" w:hAnsi="Calibri" w:cs="Arial"/>
          <w:color w:val="0F0F0F"/>
          <w:sz w:val="20"/>
          <w:szCs w:val="20"/>
        </w:rPr>
        <w:t>ACCERTAMENTO E RISCOSSIONE</w:t>
      </w:r>
    </w:p>
    <w:p w14:paraId="13AFBA9F" w14:textId="1F35CC6C" w:rsidR="00AE2F3A" w:rsidRPr="00C51F5A" w:rsidRDefault="00AE2F3A" w:rsidP="00C51F5A">
      <w:pPr>
        <w:pBdr>
          <w:top w:val="nil"/>
          <w:left w:val="nil"/>
          <w:bottom w:val="nil"/>
          <w:right w:val="nil"/>
          <w:between w:val="nil"/>
        </w:pBdr>
        <w:spacing w:line="300" w:lineRule="atLeast"/>
        <w:ind w:left="0" w:right="-30" w:hanging="2"/>
        <w:jc w:val="both"/>
        <w:rPr>
          <w:rFonts w:ascii="Arial" w:eastAsia="Arial" w:hAnsi="Arial" w:cs="Arial"/>
          <w:b/>
          <w:bCs/>
          <w:color w:val="000000"/>
          <w:sz w:val="20"/>
          <w:szCs w:val="20"/>
        </w:rPr>
      </w:pPr>
      <w:r w:rsidRPr="00C51F5A">
        <w:rPr>
          <w:rFonts w:ascii="Arial" w:eastAsia="Arial" w:hAnsi="Arial" w:cs="Arial"/>
          <w:b/>
          <w:bCs/>
          <w:color w:val="000000"/>
          <w:sz w:val="20"/>
          <w:szCs w:val="20"/>
        </w:rPr>
        <w:t>Pro e contro del “</w:t>
      </w:r>
      <w:r w:rsidR="00C51F5A">
        <w:rPr>
          <w:rFonts w:ascii="Arial" w:eastAsia="Arial" w:hAnsi="Arial" w:cs="Arial"/>
          <w:b/>
          <w:bCs/>
          <w:color w:val="000000"/>
          <w:sz w:val="20"/>
          <w:szCs w:val="20"/>
        </w:rPr>
        <w:t>r</w:t>
      </w:r>
      <w:r w:rsidRPr="00C51F5A">
        <w:rPr>
          <w:rFonts w:ascii="Arial" w:eastAsia="Arial" w:hAnsi="Arial" w:cs="Arial"/>
          <w:b/>
          <w:bCs/>
          <w:color w:val="000000"/>
          <w:sz w:val="20"/>
          <w:szCs w:val="20"/>
        </w:rPr>
        <w:t xml:space="preserve">avvedimento </w:t>
      </w:r>
      <w:r w:rsidR="00C51F5A">
        <w:rPr>
          <w:rFonts w:ascii="Arial" w:eastAsia="Arial" w:hAnsi="Arial" w:cs="Arial"/>
          <w:b/>
          <w:bCs/>
          <w:color w:val="000000"/>
          <w:sz w:val="20"/>
          <w:szCs w:val="20"/>
        </w:rPr>
        <w:t>s</w:t>
      </w:r>
      <w:r w:rsidRPr="00C51F5A">
        <w:rPr>
          <w:rFonts w:ascii="Arial" w:eastAsia="Arial" w:hAnsi="Arial" w:cs="Arial"/>
          <w:b/>
          <w:bCs/>
          <w:color w:val="000000"/>
          <w:sz w:val="20"/>
          <w:szCs w:val="20"/>
        </w:rPr>
        <w:t>peciale” 2019-2023 per gli aderenti al CPB 2025-2026</w:t>
      </w:r>
    </w:p>
    <w:p w14:paraId="169A9D7F" w14:textId="4393CBBB" w:rsidR="00AE2F3A" w:rsidRPr="00C51F5A" w:rsidRDefault="00AE2F3A" w:rsidP="00C51F5A">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sidRPr="00C51F5A">
        <w:rPr>
          <w:rFonts w:ascii="Arial" w:eastAsia="Arial" w:hAnsi="Arial" w:cs="Arial"/>
          <w:color w:val="000000"/>
          <w:sz w:val="20"/>
          <w:szCs w:val="20"/>
        </w:rPr>
        <w:t xml:space="preserve">I soggetti ISA che hanno aderito al </w:t>
      </w:r>
      <w:r w:rsidR="00C51F5A">
        <w:rPr>
          <w:rFonts w:ascii="Arial" w:eastAsia="Arial" w:hAnsi="Arial" w:cs="Arial"/>
          <w:color w:val="000000"/>
          <w:sz w:val="20"/>
          <w:szCs w:val="20"/>
        </w:rPr>
        <w:t>c</w:t>
      </w:r>
      <w:r w:rsidRPr="00C51F5A">
        <w:rPr>
          <w:rFonts w:ascii="Arial" w:eastAsia="Arial" w:hAnsi="Arial" w:cs="Arial"/>
          <w:color w:val="000000"/>
          <w:sz w:val="20"/>
          <w:szCs w:val="20"/>
        </w:rPr>
        <w:t xml:space="preserve">oncordato </w:t>
      </w:r>
      <w:r w:rsidR="00C51F5A">
        <w:rPr>
          <w:rFonts w:ascii="Arial" w:eastAsia="Arial" w:hAnsi="Arial" w:cs="Arial"/>
          <w:color w:val="000000"/>
          <w:sz w:val="20"/>
          <w:szCs w:val="20"/>
        </w:rPr>
        <w:t>p</w:t>
      </w:r>
      <w:r w:rsidRPr="00C51F5A">
        <w:rPr>
          <w:rFonts w:ascii="Arial" w:eastAsia="Arial" w:hAnsi="Arial" w:cs="Arial"/>
          <w:color w:val="000000"/>
          <w:sz w:val="20"/>
          <w:szCs w:val="20"/>
        </w:rPr>
        <w:t xml:space="preserve">reventivo </w:t>
      </w:r>
      <w:r w:rsidR="00C51F5A">
        <w:rPr>
          <w:rFonts w:ascii="Arial" w:eastAsia="Arial" w:hAnsi="Arial" w:cs="Arial"/>
          <w:color w:val="000000"/>
          <w:sz w:val="20"/>
          <w:szCs w:val="20"/>
        </w:rPr>
        <w:t>b</w:t>
      </w:r>
      <w:r w:rsidRPr="00C51F5A">
        <w:rPr>
          <w:rFonts w:ascii="Arial" w:eastAsia="Arial" w:hAnsi="Arial" w:cs="Arial"/>
          <w:color w:val="000000"/>
          <w:sz w:val="20"/>
          <w:szCs w:val="20"/>
        </w:rPr>
        <w:t xml:space="preserve">iennale per gli anni 2025-2026 hanno l’opportunità di </w:t>
      </w:r>
      <w:r w:rsidRPr="00C51F5A">
        <w:rPr>
          <w:rFonts w:ascii="Arial" w:eastAsia="Arial" w:hAnsi="Arial" w:cs="Arial"/>
          <w:b/>
          <w:bCs/>
          <w:color w:val="000000"/>
          <w:sz w:val="20"/>
          <w:szCs w:val="20"/>
        </w:rPr>
        <w:t>regolarizzare le annualità ancora accertabili</w:t>
      </w:r>
      <w:r w:rsidRPr="00C51F5A">
        <w:rPr>
          <w:rFonts w:ascii="Arial" w:eastAsia="Arial" w:hAnsi="Arial" w:cs="Arial"/>
          <w:color w:val="000000"/>
          <w:sz w:val="20"/>
          <w:szCs w:val="20"/>
        </w:rPr>
        <w:t>, ovvero i periodi d’imposta</w:t>
      </w:r>
      <w:r w:rsidR="00C51F5A">
        <w:rPr>
          <w:rFonts w:ascii="Arial" w:eastAsia="Arial" w:hAnsi="Arial" w:cs="Arial"/>
          <w:color w:val="000000"/>
          <w:sz w:val="20"/>
          <w:szCs w:val="20"/>
        </w:rPr>
        <w:t xml:space="preserve"> </w:t>
      </w:r>
      <w:r w:rsidRPr="00C51F5A">
        <w:rPr>
          <w:rFonts w:ascii="Arial" w:eastAsia="Arial" w:hAnsi="Arial" w:cs="Arial"/>
          <w:b/>
          <w:bCs/>
          <w:color w:val="000000"/>
          <w:sz w:val="20"/>
          <w:szCs w:val="20"/>
        </w:rPr>
        <w:t>dal 2019 al 2023</w:t>
      </w:r>
      <w:r w:rsidRPr="00C51F5A">
        <w:rPr>
          <w:rFonts w:ascii="Arial" w:eastAsia="Arial" w:hAnsi="Arial" w:cs="Arial"/>
          <w:color w:val="000000"/>
          <w:sz w:val="20"/>
          <w:szCs w:val="20"/>
        </w:rPr>
        <w:t>. Questa “sanatoria” si perfeziona con il versamento di un’</w:t>
      </w:r>
      <w:r w:rsidRPr="00C51F5A">
        <w:rPr>
          <w:rFonts w:ascii="Arial" w:eastAsia="Arial" w:hAnsi="Arial" w:cs="Arial"/>
          <w:b/>
          <w:bCs/>
          <w:color w:val="000000"/>
          <w:sz w:val="20"/>
          <w:szCs w:val="20"/>
        </w:rPr>
        <w:t>imposta sostitutiva</w:t>
      </w:r>
      <w:r w:rsidRPr="00C51F5A">
        <w:rPr>
          <w:rFonts w:ascii="Arial" w:eastAsia="Arial" w:hAnsi="Arial" w:cs="Arial"/>
          <w:color w:val="000000"/>
          <w:sz w:val="20"/>
          <w:szCs w:val="20"/>
        </w:rPr>
        <w:t xml:space="preserve"> delle imposte sui redditi, delle relative addizionali e dell’IRAP, da effettuarsi </w:t>
      </w:r>
      <w:r w:rsidRPr="00C51F5A">
        <w:rPr>
          <w:rFonts w:ascii="Arial" w:eastAsia="Arial" w:hAnsi="Arial" w:cs="Arial"/>
          <w:b/>
          <w:bCs/>
          <w:color w:val="000000"/>
          <w:sz w:val="20"/>
          <w:szCs w:val="20"/>
        </w:rPr>
        <w:t>tra il 1° gennaio e il 15 marzo 2026</w:t>
      </w:r>
      <w:r w:rsidRPr="00C51F5A">
        <w:rPr>
          <w:rFonts w:ascii="Arial" w:eastAsia="Arial" w:hAnsi="Arial" w:cs="Arial"/>
          <w:color w:val="000000"/>
          <w:sz w:val="20"/>
          <w:szCs w:val="20"/>
        </w:rPr>
        <w:t>.</w:t>
      </w:r>
    </w:p>
    <w:p w14:paraId="4498DDA3" w14:textId="2A4C0C02" w:rsidR="00AE2F3A" w:rsidRPr="00C51F5A" w:rsidRDefault="00AE2F3A" w:rsidP="00C51F5A">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sidRPr="00C51F5A">
        <w:rPr>
          <w:rFonts w:ascii="Arial" w:eastAsia="Arial" w:hAnsi="Arial" w:cs="Arial"/>
          <w:color w:val="000000"/>
          <w:sz w:val="20"/>
          <w:szCs w:val="20"/>
        </w:rPr>
        <w:t xml:space="preserve">L’adesione a questo ravvedimento speciale inibisce significativamente il potere di accertamento dell’Amministrazione </w:t>
      </w:r>
      <w:r w:rsidR="00C51F5A">
        <w:rPr>
          <w:rFonts w:ascii="Arial" w:eastAsia="Arial" w:hAnsi="Arial" w:cs="Arial"/>
          <w:color w:val="000000"/>
          <w:sz w:val="20"/>
          <w:szCs w:val="20"/>
        </w:rPr>
        <w:t>f</w:t>
      </w:r>
      <w:r w:rsidRPr="00C51F5A">
        <w:rPr>
          <w:rFonts w:ascii="Arial" w:eastAsia="Arial" w:hAnsi="Arial" w:cs="Arial"/>
          <w:color w:val="000000"/>
          <w:sz w:val="20"/>
          <w:szCs w:val="20"/>
        </w:rPr>
        <w:t>inanziaria per gli anni sanati. Nello specifico, non potranno essere notificati i seguenti atti:</w:t>
      </w:r>
    </w:p>
    <w:p w14:paraId="377BA183" w14:textId="77CE8593" w:rsidR="00AE2F3A" w:rsidRPr="00C51F5A" w:rsidRDefault="00C51F5A"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00AE2F3A" w:rsidRPr="00C51F5A">
        <w:rPr>
          <w:rFonts w:ascii="Arial" w:eastAsia="Arial" w:hAnsi="Arial" w:cs="Arial"/>
          <w:b/>
          <w:bCs/>
          <w:color w:val="000000"/>
          <w:sz w:val="20"/>
          <w:szCs w:val="20"/>
        </w:rPr>
        <w:t>ccertamenti analitici</w:t>
      </w:r>
      <w:r>
        <w:rPr>
          <w:rFonts w:ascii="Arial" w:eastAsia="Arial" w:hAnsi="Arial" w:cs="Arial"/>
          <w:color w:val="000000"/>
          <w:sz w:val="20"/>
          <w:szCs w:val="20"/>
        </w:rPr>
        <w:t xml:space="preserve"> </w:t>
      </w:r>
      <w:r w:rsidR="00AE2F3A" w:rsidRPr="00C51F5A">
        <w:rPr>
          <w:rFonts w:ascii="Arial" w:eastAsia="Arial" w:hAnsi="Arial" w:cs="Arial"/>
          <w:color w:val="000000"/>
          <w:sz w:val="20"/>
          <w:szCs w:val="20"/>
        </w:rPr>
        <w:t>sui redditi e sull’IRAP</w:t>
      </w:r>
      <w:r>
        <w:rPr>
          <w:rFonts w:ascii="Arial" w:eastAsia="Arial" w:hAnsi="Arial" w:cs="Arial"/>
          <w:color w:val="000000"/>
          <w:sz w:val="20"/>
          <w:szCs w:val="20"/>
        </w:rPr>
        <w:t>;</w:t>
      </w:r>
    </w:p>
    <w:p w14:paraId="1CEFFCA1" w14:textId="7527DBCB" w:rsidR="00AE2F3A" w:rsidRPr="00C51F5A" w:rsidRDefault="00C51F5A"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00AE2F3A" w:rsidRPr="00C51F5A">
        <w:rPr>
          <w:rFonts w:ascii="Arial" w:eastAsia="Arial" w:hAnsi="Arial" w:cs="Arial"/>
          <w:b/>
          <w:bCs/>
          <w:color w:val="000000"/>
          <w:sz w:val="20"/>
          <w:szCs w:val="20"/>
        </w:rPr>
        <w:t>ccertamenti analitico-induttivi</w:t>
      </w:r>
      <w:r>
        <w:rPr>
          <w:rFonts w:ascii="Arial" w:eastAsia="Arial" w:hAnsi="Arial" w:cs="Arial"/>
          <w:color w:val="000000"/>
          <w:sz w:val="20"/>
          <w:szCs w:val="20"/>
        </w:rPr>
        <w:t xml:space="preserve"> </w:t>
      </w:r>
      <w:r w:rsidR="00AE2F3A" w:rsidRPr="00C51F5A">
        <w:rPr>
          <w:rFonts w:ascii="Arial" w:eastAsia="Arial" w:hAnsi="Arial" w:cs="Arial"/>
          <w:color w:val="000000"/>
          <w:sz w:val="20"/>
          <w:szCs w:val="20"/>
        </w:rPr>
        <w:t>sui redditi, sull’IRAP e ai fini IVA (come il c.d. “</w:t>
      </w:r>
      <w:proofErr w:type="spellStart"/>
      <w:r w:rsidR="00AE2F3A" w:rsidRPr="00C51F5A">
        <w:rPr>
          <w:rFonts w:ascii="Arial" w:eastAsia="Arial" w:hAnsi="Arial" w:cs="Arial"/>
          <w:color w:val="000000"/>
          <w:sz w:val="20"/>
          <w:szCs w:val="20"/>
        </w:rPr>
        <w:t>tovagliometro</w:t>
      </w:r>
      <w:proofErr w:type="spellEnd"/>
      <w:r w:rsidR="00AE2F3A" w:rsidRPr="00C51F5A">
        <w:rPr>
          <w:rFonts w:ascii="Arial" w:eastAsia="Arial" w:hAnsi="Arial" w:cs="Arial"/>
          <w:color w:val="000000"/>
          <w:sz w:val="20"/>
          <w:szCs w:val="20"/>
        </w:rPr>
        <w:t>”)</w:t>
      </w:r>
      <w:r>
        <w:rPr>
          <w:rFonts w:ascii="Arial" w:eastAsia="Arial" w:hAnsi="Arial" w:cs="Arial"/>
          <w:color w:val="000000"/>
          <w:sz w:val="20"/>
          <w:szCs w:val="20"/>
        </w:rPr>
        <w:t>;</w:t>
      </w:r>
    </w:p>
    <w:p w14:paraId="3DBB5E64" w14:textId="20A17169" w:rsidR="00AE2F3A" w:rsidRPr="00C51F5A" w:rsidRDefault="00C51F5A"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00AE2F3A" w:rsidRPr="00C51F5A">
        <w:rPr>
          <w:rFonts w:ascii="Arial" w:eastAsia="Arial" w:hAnsi="Arial" w:cs="Arial"/>
          <w:b/>
          <w:bCs/>
          <w:color w:val="000000"/>
          <w:sz w:val="20"/>
          <w:szCs w:val="20"/>
        </w:rPr>
        <w:t>ccertamenti induttivi</w:t>
      </w:r>
      <w:r>
        <w:rPr>
          <w:rFonts w:ascii="Arial" w:eastAsia="Arial" w:hAnsi="Arial" w:cs="Arial"/>
          <w:color w:val="000000"/>
          <w:sz w:val="20"/>
          <w:szCs w:val="20"/>
        </w:rPr>
        <w:t xml:space="preserve"> </w:t>
      </w:r>
      <w:r w:rsidR="00AE2F3A" w:rsidRPr="00C51F5A">
        <w:rPr>
          <w:rFonts w:ascii="Arial" w:eastAsia="Arial" w:hAnsi="Arial" w:cs="Arial"/>
          <w:color w:val="000000"/>
          <w:sz w:val="20"/>
          <w:szCs w:val="20"/>
        </w:rPr>
        <w:t>sui redditi e sull’IRAP.</w:t>
      </w:r>
    </w:p>
    <w:p w14:paraId="6646BAF3" w14:textId="77777777" w:rsidR="002E11D4" w:rsidRPr="00C51F5A" w:rsidRDefault="002E11D4" w:rsidP="00C51F5A">
      <w:pPr>
        <w:pBdr>
          <w:top w:val="nil"/>
          <w:left w:val="nil"/>
          <w:bottom w:val="nil"/>
          <w:right w:val="nil"/>
          <w:between w:val="nil"/>
        </w:pBdr>
        <w:spacing w:line="300" w:lineRule="atLeast"/>
        <w:ind w:left="0" w:hanging="2"/>
        <w:jc w:val="both"/>
        <w:rPr>
          <w:rFonts w:ascii="Arial" w:eastAsia="Arial" w:hAnsi="Arial" w:cs="Arial"/>
          <w:bCs/>
          <w:color w:val="000000"/>
          <w:sz w:val="20"/>
          <w:szCs w:val="20"/>
        </w:rPr>
      </w:pPr>
    </w:p>
    <w:p w14:paraId="4AB47659" w14:textId="77777777" w:rsidR="00C51F5A" w:rsidRPr="00083D42" w:rsidRDefault="00C51F5A" w:rsidP="00C51F5A">
      <w:pPr>
        <w:shd w:val="clear" w:color="auto" w:fill="FFFFFF"/>
        <w:spacing w:line="300" w:lineRule="atLeast"/>
        <w:ind w:left="0" w:hanging="2"/>
        <w:jc w:val="both"/>
        <w:rPr>
          <w:rFonts w:ascii="Arial" w:hAnsi="Arial" w:cs="Arial"/>
          <w:i/>
          <w:iCs/>
          <w:color w:val="0F0F0F"/>
          <w:sz w:val="20"/>
          <w:szCs w:val="20"/>
        </w:rPr>
      </w:pPr>
      <w:r w:rsidRPr="00083D42">
        <w:rPr>
          <w:rFonts w:ascii="Arial" w:hAnsi="Arial" w:cs="Arial"/>
          <w:i/>
          <w:iCs/>
          <w:color w:val="0F0F0F"/>
          <w:sz w:val="20"/>
          <w:szCs w:val="20"/>
        </w:rPr>
        <w:t>Vedi l’Approfondimento</w:t>
      </w:r>
    </w:p>
    <w:p w14:paraId="163E2D77" w14:textId="77777777" w:rsidR="0093709F" w:rsidRPr="00C51F5A" w:rsidRDefault="0093709F" w:rsidP="00C51F5A">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p w14:paraId="6A62FA21" w14:textId="77777777" w:rsidR="0093709F" w:rsidRPr="00C51F5A" w:rsidRDefault="0093709F" w:rsidP="00C51F5A">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tbl>
      <w:tblPr>
        <w:tblStyle w:val="a4"/>
        <w:tblW w:w="10625" w:type="dxa"/>
        <w:tblInd w:w="0" w:type="dxa"/>
        <w:tblLayout w:type="fixed"/>
        <w:tblLook w:val="0000" w:firstRow="0" w:lastRow="0" w:firstColumn="0" w:lastColumn="0" w:noHBand="0" w:noVBand="0"/>
      </w:tblPr>
      <w:tblGrid>
        <w:gridCol w:w="3700"/>
        <w:gridCol w:w="1120"/>
        <w:gridCol w:w="5805"/>
      </w:tblGrid>
      <w:tr w:rsidR="0093709F" w14:paraId="3DD388A2" w14:textId="77777777">
        <w:trPr>
          <w:trHeight w:val="255"/>
        </w:trPr>
        <w:tc>
          <w:tcPr>
            <w:tcW w:w="10625" w:type="dxa"/>
            <w:gridSpan w:val="3"/>
            <w:tcBorders>
              <w:top w:val="nil"/>
              <w:left w:val="nil"/>
              <w:bottom w:val="nil"/>
              <w:right w:val="nil"/>
            </w:tcBorders>
          </w:tcPr>
          <w:p w14:paraId="61CE2E4F"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93709F" w14:paraId="25A0257B" w14:textId="77777777">
        <w:trPr>
          <w:trHeight w:val="255"/>
        </w:trPr>
        <w:tc>
          <w:tcPr>
            <w:tcW w:w="10625" w:type="dxa"/>
            <w:gridSpan w:val="3"/>
            <w:tcBorders>
              <w:top w:val="nil"/>
              <w:left w:val="nil"/>
              <w:bottom w:val="nil"/>
              <w:right w:val="nil"/>
            </w:tcBorders>
          </w:tcPr>
          <w:p w14:paraId="772D72F5"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255441">
              <w:rPr>
                <w:rFonts w:ascii="Calibri" w:eastAsia="Calibri" w:hAnsi="Calibri" w:cs="Calibri"/>
                <w:color w:val="330033"/>
                <w:sz w:val="20"/>
                <w:szCs w:val="20"/>
                <w:highlight w:val="green"/>
              </w:rPr>
              <w:t>Consorzi</w:t>
            </w:r>
          </w:p>
        </w:tc>
      </w:tr>
      <w:tr w:rsidR="0093709F" w14:paraId="764B5440" w14:textId="77777777">
        <w:trPr>
          <w:trHeight w:val="255"/>
        </w:trPr>
        <w:tc>
          <w:tcPr>
            <w:tcW w:w="10625" w:type="dxa"/>
            <w:gridSpan w:val="3"/>
            <w:tcBorders>
              <w:top w:val="nil"/>
              <w:left w:val="nil"/>
              <w:bottom w:val="nil"/>
              <w:right w:val="nil"/>
            </w:tcBorders>
          </w:tcPr>
          <w:p w14:paraId="0BCA988F"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Condomini</w:t>
            </w:r>
          </w:p>
        </w:tc>
      </w:tr>
      <w:tr w:rsidR="0093709F" w14:paraId="785BB212" w14:textId="77777777">
        <w:trPr>
          <w:trHeight w:val="255"/>
        </w:trPr>
        <w:tc>
          <w:tcPr>
            <w:tcW w:w="10625" w:type="dxa"/>
            <w:gridSpan w:val="3"/>
            <w:tcBorders>
              <w:top w:val="nil"/>
              <w:left w:val="nil"/>
              <w:bottom w:val="nil"/>
              <w:right w:val="nil"/>
            </w:tcBorders>
          </w:tcPr>
          <w:p w14:paraId="42EC2531"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AE2F3A">
              <w:rPr>
                <w:rFonts w:ascii="Calibri" w:eastAsia="Calibri" w:hAnsi="Calibri" w:cs="Calibri"/>
                <w:color w:val="330033"/>
                <w:sz w:val="20"/>
                <w:szCs w:val="20"/>
                <w:highlight w:val="green"/>
              </w:rPr>
              <w:t xml:space="preserve">Enti </w:t>
            </w:r>
            <w:proofErr w:type="spellStart"/>
            <w:r w:rsidRPr="00AE2F3A">
              <w:rPr>
                <w:rFonts w:ascii="Calibri" w:eastAsia="Calibri" w:hAnsi="Calibri" w:cs="Calibri"/>
                <w:color w:val="330033"/>
                <w:sz w:val="20"/>
                <w:szCs w:val="20"/>
                <w:highlight w:val="green"/>
              </w:rPr>
              <w:t>no</w:t>
            </w:r>
            <w:proofErr w:type="spellEnd"/>
            <w:r w:rsidRPr="00AE2F3A">
              <w:rPr>
                <w:rFonts w:ascii="Calibri" w:eastAsia="Calibri" w:hAnsi="Calibri" w:cs="Calibri"/>
                <w:color w:val="330033"/>
                <w:sz w:val="20"/>
                <w:szCs w:val="20"/>
                <w:highlight w:val="green"/>
              </w:rPr>
              <w:t xml:space="preserve"> profit</w:t>
            </w:r>
          </w:p>
        </w:tc>
      </w:tr>
      <w:tr w:rsidR="0093709F" w14:paraId="45DF891E" w14:textId="77777777">
        <w:trPr>
          <w:trHeight w:val="255"/>
        </w:trPr>
        <w:tc>
          <w:tcPr>
            <w:tcW w:w="10625" w:type="dxa"/>
            <w:gridSpan w:val="3"/>
            <w:tcBorders>
              <w:top w:val="nil"/>
              <w:left w:val="nil"/>
              <w:bottom w:val="nil"/>
              <w:right w:val="nil"/>
            </w:tcBorders>
          </w:tcPr>
          <w:p w14:paraId="70CB649B"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255441">
              <w:rPr>
                <w:rFonts w:ascii="Calibri" w:eastAsia="Calibri" w:hAnsi="Calibri" w:cs="Calibri"/>
                <w:color w:val="330033"/>
                <w:sz w:val="20"/>
                <w:szCs w:val="20"/>
                <w:highlight w:val="green"/>
              </w:rPr>
              <w:t>Imprese</w:t>
            </w:r>
          </w:p>
        </w:tc>
      </w:tr>
      <w:tr w:rsidR="0093709F" w14:paraId="1D84407A" w14:textId="77777777">
        <w:trPr>
          <w:trHeight w:val="255"/>
        </w:trPr>
        <w:tc>
          <w:tcPr>
            <w:tcW w:w="10625" w:type="dxa"/>
            <w:gridSpan w:val="3"/>
            <w:tcBorders>
              <w:top w:val="nil"/>
              <w:left w:val="nil"/>
              <w:bottom w:val="nil"/>
              <w:right w:val="nil"/>
            </w:tcBorders>
          </w:tcPr>
          <w:p w14:paraId="2B9C12A6"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Lavoratori autonomi</w:t>
            </w:r>
          </w:p>
        </w:tc>
      </w:tr>
      <w:tr w:rsidR="0093709F" w14:paraId="1E1E1A49" w14:textId="77777777">
        <w:trPr>
          <w:trHeight w:val="255"/>
        </w:trPr>
        <w:tc>
          <w:tcPr>
            <w:tcW w:w="10625" w:type="dxa"/>
            <w:gridSpan w:val="3"/>
            <w:tcBorders>
              <w:top w:val="nil"/>
              <w:left w:val="nil"/>
              <w:bottom w:val="nil"/>
              <w:right w:val="nil"/>
            </w:tcBorders>
          </w:tcPr>
          <w:p w14:paraId="75AA3772"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Persone fisiche</w:t>
            </w:r>
          </w:p>
        </w:tc>
      </w:tr>
      <w:tr w:rsidR="0093709F" w14:paraId="3B119AD3" w14:textId="77777777">
        <w:trPr>
          <w:trHeight w:val="255"/>
        </w:trPr>
        <w:tc>
          <w:tcPr>
            <w:tcW w:w="10625" w:type="dxa"/>
            <w:gridSpan w:val="3"/>
            <w:tcBorders>
              <w:top w:val="nil"/>
              <w:left w:val="nil"/>
              <w:bottom w:val="nil"/>
              <w:right w:val="nil"/>
            </w:tcBorders>
          </w:tcPr>
          <w:p w14:paraId="03E31E64" w14:textId="77777777" w:rsidR="0093709F" w:rsidRPr="00255441"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55441">
              <w:rPr>
                <w:rFonts w:ascii="Calibri" w:eastAsia="Calibri" w:hAnsi="Calibri" w:cs="Calibri"/>
                <w:color w:val="330033"/>
                <w:sz w:val="20"/>
                <w:szCs w:val="20"/>
                <w:highlight w:val="green"/>
              </w:rPr>
              <w:t>Società di capitali</w:t>
            </w:r>
          </w:p>
        </w:tc>
      </w:tr>
      <w:tr w:rsidR="0093709F" w14:paraId="595BF84A" w14:textId="77777777">
        <w:trPr>
          <w:trHeight w:val="255"/>
        </w:trPr>
        <w:tc>
          <w:tcPr>
            <w:tcW w:w="10625" w:type="dxa"/>
            <w:gridSpan w:val="3"/>
            <w:tcBorders>
              <w:top w:val="nil"/>
              <w:left w:val="nil"/>
              <w:bottom w:val="nil"/>
              <w:right w:val="nil"/>
            </w:tcBorders>
          </w:tcPr>
          <w:p w14:paraId="2D6D68D8" w14:textId="77777777" w:rsidR="0093709F" w:rsidRPr="00255441"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55441">
              <w:rPr>
                <w:rFonts w:ascii="Calibri" w:eastAsia="Calibri" w:hAnsi="Calibri" w:cs="Calibri"/>
                <w:color w:val="330033"/>
                <w:sz w:val="20"/>
                <w:szCs w:val="20"/>
                <w:highlight w:val="green"/>
              </w:rPr>
              <w:t>Società di persone</w:t>
            </w:r>
          </w:p>
        </w:tc>
      </w:tr>
      <w:tr w:rsidR="0093709F" w14:paraId="6CB653B5" w14:textId="77777777">
        <w:trPr>
          <w:trHeight w:val="315"/>
        </w:trPr>
        <w:tc>
          <w:tcPr>
            <w:tcW w:w="3700" w:type="dxa"/>
            <w:tcBorders>
              <w:top w:val="single" w:sz="4" w:space="0" w:color="000000"/>
              <w:left w:val="single" w:sz="4" w:space="0" w:color="000000"/>
              <w:bottom w:val="single" w:sz="12" w:space="0" w:color="000000"/>
              <w:right w:val="single" w:sz="4" w:space="0" w:color="000000"/>
            </w:tcBorders>
          </w:tcPr>
          <w:p w14:paraId="38511636"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19CDDB9A" w14:textId="77777777" w:rsidR="0093709F" w:rsidRDefault="0093709F">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096E6F73"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29B64B27" w14:textId="77777777" w:rsidR="0093709F" w:rsidRDefault="0093709F" w:rsidP="00855112">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p w14:paraId="776C92A6" w14:textId="434006D8" w:rsidR="00855112" w:rsidRPr="00855112" w:rsidRDefault="00855112" w:rsidP="00855112">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855112">
        <w:rPr>
          <w:rFonts w:ascii="Calibri" w:hAnsi="Calibri" w:cs="Arial"/>
          <w:color w:val="0F0F0F"/>
          <w:sz w:val="20"/>
          <w:szCs w:val="20"/>
        </w:rPr>
        <w:t>IVA</w:t>
      </w:r>
    </w:p>
    <w:p w14:paraId="7F303590" w14:textId="0022FD2E" w:rsidR="00AE2F3A" w:rsidRPr="00855112" w:rsidRDefault="00E97BA8" w:rsidP="00855112">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Pr>
          <w:rFonts w:ascii="Arial" w:eastAsia="Arial" w:hAnsi="Arial" w:cs="Arial"/>
          <w:b/>
          <w:bCs/>
          <w:color w:val="000000"/>
          <w:sz w:val="20"/>
          <w:szCs w:val="20"/>
        </w:rPr>
        <w:t>I rischi della d</w:t>
      </w:r>
      <w:r w:rsidR="00AE2F3A" w:rsidRPr="00855112">
        <w:rPr>
          <w:rFonts w:ascii="Arial" w:eastAsia="Arial" w:hAnsi="Arial" w:cs="Arial"/>
          <w:b/>
          <w:bCs/>
          <w:color w:val="000000"/>
          <w:sz w:val="20"/>
          <w:szCs w:val="20"/>
        </w:rPr>
        <w:t>ichiarazione d’intento omessa o tardiva</w:t>
      </w:r>
    </w:p>
    <w:p w14:paraId="60C589BF" w14:textId="307335B9" w:rsidR="00AE2F3A" w:rsidRPr="00855112" w:rsidRDefault="00AE2F3A" w:rsidP="00855112">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855112">
        <w:rPr>
          <w:rFonts w:ascii="Arial" w:eastAsia="Arial" w:hAnsi="Arial" w:cs="Arial"/>
          <w:color w:val="000000"/>
          <w:sz w:val="20"/>
          <w:szCs w:val="20"/>
        </w:rPr>
        <w:t>Nel sistema IVA italiano, gli esportatori abituali beneficiano di un importante regime di favore: la possibilità di acquistare beni e servizi senza l’applicazione dell’imposta, utilizzando un apposito “plafond”. Strumento essenziale di questo meccanismo è la</w:t>
      </w:r>
      <w:r w:rsidR="00A4723D">
        <w:rPr>
          <w:rFonts w:ascii="Arial" w:eastAsia="Arial" w:hAnsi="Arial" w:cs="Arial"/>
          <w:color w:val="000000"/>
          <w:sz w:val="20"/>
          <w:szCs w:val="20"/>
        </w:rPr>
        <w:t xml:space="preserve"> </w:t>
      </w:r>
      <w:r w:rsidRPr="00855112">
        <w:rPr>
          <w:rFonts w:ascii="Arial" w:eastAsia="Arial" w:hAnsi="Arial" w:cs="Arial"/>
          <w:color w:val="000000"/>
          <w:sz w:val="20"/>
          <w:szCs w:val="20"/>
        </w:rPr>
        <w:t>dichiarazione d’intento, un documento con cui l’esportatore comunica al proprio fornitore la sua volontà di avvalersi di tale facoltà.</w:t>
      </w:r>
    </w:p>
    <w:p w14:paraId="1664EE85" w14:textId="77777777" w:rsidR="00AE2F3A" w:rsidRPr="00855112" w:rsidRDefault="00AE2F3A" w:rsidP="00855112">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855112">
        <w:rPr>
          <w:rFonts w:ascii="Arial" w:eastAsia="Arial" w:hAnsi="Arial" w:cs="Arial"/>
          <w:color w:val="000000"/>
          <w:sz w:val="20"/>
          <w:szCs w:val="20"/>
        </w:rPr>
        <w:lastRenderedPageBreak/>
        <w:t xml:space="preserve">Tuttavia, la procedura, oggi interamente telematica, impone </w:t>
      </w:r>
      <w:r w:rsidRPr="00A4723D">
        <w:rPr>
          <w:rFonts w:ascii="Arial" w:eastAsia="Arial" w:hAnsi="Arial" w:cs="Arial"/>
          <w:b/>
          <w:bCs/>
          <w:color w:val="000000"/>
          <w:sz w:val="20"/>
          <w:szCs w:val="20"/>
        </w:rPr>
        <w:t>obblighi precisi</w:t>
      </w:r>
      <w:r w:rsidRPr="00855112">
        <w:rPr>
          <w:rFonts w:ascii="Arial" w:eastAsia="Arial" w:hAnsi="Arial" w:cs="Arial"/>
          <w:color w:val="000000"/>
          <w:sz w:val="20"/>
          <w:szCs w:val="20"/>
        </w:rPr>
        <w:t xml:space="preserve"> non solo all’esportatore ma, soprattutto, al fornitore. L’emissione di una fattura in regime di non imponibilità IVA senza aver rispettato scrupolosamente l’iter previsto espone il fornitore a rischi finanziari significativi.</w:t>
      </w:r>
    </w:p>
    <w:p w14:paraId="6A5CF59A" w14:textId="77777777" w:rsidR="00AE2F3A" w:rsidRPr="00855112" w:rsidRDefault="00AE2F3A" w:rsidP="00855112">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239FB964" w14:textId="77777777" w:rsidR="00A4723D" w:rsidRPr="00083D42" w:rsidRDefault="00A4723D" w:rsidP="00A4723D">
      <w:pPr>
        <w:shd w:val="clear" w:color="auto" w:fill="FFFFFF"/>
        <w:spacing w:line="300" w:lineRule="atLeast"/>
        <w:ind w:left="0" w:hanging="2"/>
        <w:jc w:val="both"/>
        <w:rPr>
          <w:rFonts w:ascii="Arial" w:hAnsi="Arial" w:cs="Arial"/>
          <w:i/>
          <w:iCs/>
          <w:color w:val="0F0F0F"/>
          <w:sz w:val="20"/>
          <w:szCs w:val="20"/>
        </w:rPr>
      </w:pPr>
      <w:r w:rsidRPr="00083D42">
        <w:rPr>
          <w:rFonts w:ascii="Arial" w:hAnsi="Arial" w:cs="Arial"/>
          <w:i/>
          <w:iCs/>
          <w:color w:val="0F0F0F"/>
          <w:sz w:val="20"/>
          <w:szCs w:val="20"/>
        </w:rPr>
        <w:t>Vedi l’Approfondimento</w:t>
      </w:r>
    </w:p>
    <w:p w14:paraId="68F1AE07" w14:textId="77777777" w:rsidR="00AE2F3A" w:rsidRPr="00A4723D" w:rsidRDefault="00AE2F3A" w:rsidP="00A4723D">
      <w:pPr>
        <w:pStyle w:val="titolodocumento"/>
        <w:suppressAutoHyphens w:val="0"/>
        <w:spacing w:line="300" w:lineRule="atLeast"/>
        <w:ind w:leftChars="0" w:left="0" w:firstLineChars="0" w:firstLine="0"/>
        <w:jc w:val="both"/>
        <w:textAlignment w:val="auto"/>
        <w:outlineLvl w:val="9"/>
        <w:rPr>
          <w:rFonts w:ascii="Arial" w:hAnsi="Arial" w:cs="Arial"/>
          <w:b w:val="0"/>
          <w:imprint w:val="0"/>
          <w:color w:val="auto"/>
          <w:position w:val="0"/>
          <w:sz w:val="20"/>
          <w:szCs w:val="20"/>
        </w:rPr>
      </w:pPr>
    </w:p>
    <w:p w14:paraId="72897047" w14:textId="77777777" w:rsidR="00EE0D15" w:rsidRPr="00A4723D" w:rsidRDefault="00EE0D15" w:rsidP="00A4723D">
      <w:pPr>
        <w:pStyle w:val="titolodocumento"/>
        <w:suppressAutoHyphens w:val="0"/>
        <w:spacing w:line="300" w:lineRule="atLeast"/>
        <w:ind w:leftChars="0" w:left="0" w:firstLineChars="0" w:firstLine="0"/>
        <w:jc w:val="both"/>
        <w:textAlignment w:val="auto"/>
        <w:outlineLvl w:val="9"/>
        <w:rPr>
          <w:rFonts w:ascii="Arial" w:hAnsi="Arial" w:cs="Arial"/>
          <w:b w:val="0"/>
          <w:imprint w:val="0"/>
          <w:color w:val="auto"/>
          <w:position w:val="0"/>
          <w:sz w:val="20"/>
          <w:szCs w:val="20"/>
        </w:rPr>
      </w:pPr>
    </w:p>
    <w:tbl>
      <w:tblPr>
        <w:tblStyle w:val="a4"/>
        <w:tblW w:w="10625" w:type="dxa"/>
        <w:tblInd w:w="0" w:type="dxa"/>
        <w:tblLayout w:type="fixed"/>
        <w:tblLook w:val="0000" w:firstRow="0" w:lastRow="0" w:firstColumn="0" w:lastColumn="0" w:noHBand="0" w:noVBand="0"/>
      </w:tblPr>
      <w:tblGrid>
        <w:gridCol w:w="3700"/>
        <w:gridCol w:w="1120"/>
        <w:gridCol w:w="5805"/>
      </w:tblGrid>
      <w:tr w:rsidR="00EE0D15" w14:paraId="665E3FCE" w14:textId="77777777" w:rsidTr="008E6D00">
        <w:trPr>
          <w:trHeight w:val="255"/>
        </w:trPr>
        <w:tc>
          <w:tcPr>
            <w:tcW w:w="10625" w:type="dxa"/>
            <w:gridSpan w:val="3"/>
            <w:tcBorders>
              <w:top w:val="nil"/>
              <w:left w:val="nil"/>
              <w:bottom w:val="nil"/>
              <w:right w:val="nil"/>
            </w:tcBorders>
          </w:tcPr>
          <w:p w14:paraId="1DA537E6" w14:textId="77777777" w:rsidR="00EE0D15"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EE0D15" w14:paraId="6E6A9B8A" w14:textId="77777777" w:rsidTr="008E6D00">
        <w:trPr>
          <w:trHeight w:val="255"/>
        </w:trPr>
        <w:tc>
          <w:tcPr>
            <w:tcW w:w="10625" w:type="dxa"/>
            <w:gridSpan w:val="3"/>
            <w:tcBorders>
              <w:top w:val="nil"/>
              <w:left w:val="nil"/>
              <w:bottom w:val="nil"/>
              <w:right w:val="nil"/>
            </w:tcBorders>
          </w:tcPr>
          <w:p w14:paraId="48C2A617"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Consorzi</w:t>
            </w:r>
          </w:p>
        </w:tc>
      </w:tr>
      <w:tr w:rsidR="00EE0D15" w:rsidRPr="00EE0D15" w14:paraId="019FFA2B" w14:textId="77777777" w:rsidTr="00EE0D15">
        <w:trPr>
          <w:trHeight w:val="255"/>
        </w:trPr>
        <w:tc>
          <w:tcPr>
            <w:tcW w:w="10625" w:type="dxa"/>
            <w:gridSpan w:val="3"/>
            <w:tcBorders>
              <w:top w:val="nil"/>
              <w:left w:val="nil"/>
              <w:bottom w:val="nil"/>
              <w:right w:val="nil"/>
            </w:tcBorders>
          </w:tcPr>
          <w:p w14:paraId="0ADDFF83" w14:textId="77777777" w:rsidR="00EE0D15" w:rsidRPr="00EE0D15"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EE0D15">
              <w:rPr>
                <w:rFonts w:ascii="Calibri" w:eastAsia="Calibri" w:hAnsi="Calibri" w:cs="Calibri"/>
                <w:color w:val="330033"/>
                <w:sz w:val="20"/>
                <w:szCs w:val="20"/>
              </w:rPr>
              <w:t>Condomini</w:t>
            </w:r>
          </w:p>
        </w:tc>
      </w:tr>
      <w:tr w:rsidR="00EE0D15" w14:paraId="2FF5742A" w14:textId="77777777" w:rsidTr="00EE0D15">
        <w:trPr>
          <w:trHeight w:val="255"/>
        </w:trPr>
        <w:tc>
          <w:tcPr>
            <w:tcW w:w="10625" w:type="dxa"/>
            <w:gridSpan w:val="3"/>
            <w:tcBorders>
              <w:top w:val="nil"/>
              <w:left w:val="nil"/>
              <w:bottom w:val="nil"/>
              <w:right w:val="nil"/>
            </w:tcBorders>
          </w:tcPr>
          <w:p w14:paraId="714CF239" w14:textId="77777777" w:rsidR="00EE0D15" w:rsidRPr="00EE0D15"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EE0D15">
              <w:rPr>
                <w:rFonts w:ascii="Calibri" w:eastAsia="Calibri" w:hAnsi="Calibri" w:cs="Calibri"/>
                <w:color w:val="330033"/>
                <w:sz w:val="20"/>
                <w:szCs w:val="20"/>
              </w:rPr>
              <w:t xml:space="preserve">Enti </w:t>
            </w:r>
            <w:proofErr w:type="spellStart"/>
            <w:r w:rsidRPr="00EE0D15">
              <w:rPr>
                <w:rFonts w:ascii="Calibri" w:eastAsia="Calibri" w:hAnsi="Calibri" w:cs="Calibri"/>
                <w:color w:val="330033"/>
                <w:sz w:val="20"/>
                <w:szCs w:val="20"/>
              </w:rPr>
              <w:t>no</w:t>
            </w:r>
            <w:proofErr w:type="spellEnd"/>
            <w:r w:rsidRPr="00EE0D15">
              <w:rPr>
                <w:rFonts w:ascii="Calibri" w:eastAsia="Calibri" w:hAnsi="Calibri" w:cs="Calibri"/>
                <w:color w:val="330033"/>
                <w:sz w:val="20"/>
                <w:szCs w:val="20"/>
              </w:rPr>
              <w:t xml:space="preserve"> profit</w:t>
            </w:r>
          </w:p>
        </w:tc>
      </w:tr>
      <w:tr w:rsidR="00EE0D15" w14:paraId="2EB1C5DD" w14:textId="77777777" w:rsidTr="008E6D00">
        <w:trPr>
          <w:trHeight w:val="255"/>
        </w:trPr>
        <w:tc>
          <w:tcPr>
            <w:tcW w:w="10625" w:type="dxa"/>
            <w:gridSpan w:val="3"/>
            <w:tcBorders>
              <w:top w:val="nil"/>
              <w:left w:val="nil"/>
              <w:bottom w:val="nil"/>
              <w:right w:val="nil"/>
            </w:tcBorders>
          </w:tcPr>
          <w:p w14:paraId="76762D38"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Imprese</w:t>
            </w:r>
          </w:p>
        </w:tc>
      </w:tr>
      <w:tr w:rsidR="00EE0D15" w14:paraId="30546567" w14:textId="77777777" w:rsidTr="008E6D00">
        <w:trPr>
          <w:trHeight w:val="255"/>
        </w:trPr>
        <w:tc>
          <w:tcPr>
            <w:tcW w:w="10625" w:type="dxa"/>
            <w:gridSpan w:val="3"/>
            <w:tcBorders>
              <w:top w:val="nil"/>
              <w:left w:val="nil"/>
              <w:bottom w:val="nil"/>
              <w:right w:val="nil"/>
            </w:tcBorders>
          </w:tcPr>
          <w:p w14:paraId="75008753"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Lavoratori autonomi</w:t>
            </w:r>
          </w:p>
        </w:tc>
      </w:tr>
      <w:tr w:rsidR="00EE0D15" w14:paraId="408F241A" w14:textId="77777777" w:rsidTr="008E6D00">
        <w:trPr>
          <w:trHeight w:val="255"/>
        </w:trPr>
        <w:tc>
          <w:tcPr>
            <w:tcW w:w="10625" w:type="dxa"/>
            <w:gridSpan w:val="3"/>
            <w:tcBorders>
              <w:top w:val="nil"/>
              <w:left w:val="nil"/>
              <w:bottom w:val="nil"/>
              <w:right w:val="nil"/>
            </w:tcBorders>
          </w:tcPr>
          <w:p w14:paraId="30C2E9C6"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E478C0">
              <w:rPr>
                <w:rFonts w:ascii="Calibri" w:eastAsia="Calibri" w:hAnsi="Calibri" w:cs="Calibri"/>
                <w:color w:val="330033"/>
                <w:sz w:val="20"/>
                <w:szCs w:val="20"/>
              </w:rPr>
              <w:t>Persone fisiche</w:t>
            </w:r>
          </w:p>
        </w:tc>
      </w:tr>
      <w:tr w:rsidR="00EE0D15" w14:paraId="2450C248" w14:textId="77777777" w:rsidTr="008E6D00">
        <w:trPr>
          <w:trHeight w:val="255"/>
        </w:trPr>
        <w:tc>
          <w:tcPr>
            <w:tcW w:w="10625" w:type="dxa"/>
            <w:gridSpan w:val="3"/>
            <w:tcBorders>
              <w:top w:val="nil"/>
              <w:left w:val="nil"/>
              <w:bottom w:val="nil"/>
              <w:right w:val="nil"/>
            </w:tcBorders>
          </w:tcPr>
          <w:p w14:paraId="4E68C4BF"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capitali</w:t>
            </w:r>
          </w:p>
        </w:tc>
      </w:tr>
      <w:tr w:rsidR="00EE0D15" w14:paraId="54A09CB0" w14:textId="77777777" w:rsidTr="008E6D00">
        <w:trPr>
          <w:trHeight w:val="255"/>
        </w:trPr>
        <w:tc>
          <w:tcPr>
            <w:tcW w:w="10625" w:type="dxa"/>
            <w:gridSpan w:val="3"/>
            <w:tcBorders>
              <w:top w:val="nil"/>
              <w:left w:val="nil"/>
              <w:bottom w:val="nil"/>
              <w:right w:val="nil"/>
            </w:tcBorders>
          </w:tcPr>
          <w:p w14:paraId="493A1767" w14:textId="77777777" w:rsidR="00EE0D15" w:rsidRPr="00100FD3" w:rsidRDefault="00EE0D15" w:rsidP="008E6D00">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persone</w:t>
            </w:r>
          </w:p>
        </w:tc>
      </w:tr>
      <w:tr w:rsidR="00EE0D15" w14:paraId="155BFE51" w14:textId="77777777" w:rsidTr="008E6D00">
        <w:trPr>
          <w:trHeight w:val="315"/>
        </w:trPr>
        <w:tc>
          <w:tcPr>
            <w:tcW w:w="3700" w:type="dxa"/>
            <w:tcBorders>
              <w:top w:val="single" w:sz="4" w:space="0" w:color="000000"/>
              <w:left w:val="single" w:sz="4" w:space="0" w:color="000000"/>
              <w:bottom w:val="single" w:sz="12" w:space="0" w:color="000000"/>
              <w:right w:val="single" w:sz="4" w:space="0" w:color="000000"/>
            </w:tcBorders>
          </w:tcPr>
          <w:p w14:paraId="30A7F6B6" w14:textId="77777777" w:rsidR="00EE0D15" w:rsidRDefault="00EE0D15" w:rsidP="008E6D00">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36B077BD" w14:textId="77777777" w:rsidR="00EE0D15" w:rsidRDefault="00EE0D15" w:rsidP="008E6D00">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2AEE5C69" w14:textId="77777777" w:rsidR="00EE0D15" w:rsidRDefault="00EE0D15" w:rsidP="008E6D00">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0538188F" w14:textId="77777777" w:rsidR="00EE0D15" w:rsidRPr="00A4723D" w:rsidRDefault="00EE0D15" w:rsidP="00A4723D">
      <w:pPr>
        <w:pStyle w:val="titolodocumento"/>
        <w:suppressAutoHyphens w:val="0"/>
        <w:spacing w:line="300" w:lineRule="atLeast"/>
        <w:ind w:leftChars="0" w:left="0" w:firstLineChars="0" w:firstLine="0"/>
        <w:jc w:val="both"/>
        <w:textAlignment w:val="auto"/>
        <w:outlineLvl w:val="9"/>
        <w:rPr>
          <w:rFonts w:ascii="Arial" w:hAnsi="Arial" w:cs="Arial"/>
          <w:b w:val="0"/>
          <w:imprint w:val="0"/>
          <w:color w:val="auto"/>
          <w:position w:val="0"/>
          <w:sz w:val="20"/>
          <w:szCs w:val="20"/>
        </w:rPr>
      </w:pPr>
    </w:p>
    <w:p w14:paraId="6B184FF4" w14:textId="313BEF69" w:rsidR="00374496" w:rsidRPr="00A4723D" w:rsidRDefault="00A4723D" w:rsidP="00A4723D">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A4723D">
        <w:rPr>
          <w:rFonts w:ascii="Calibri" w:hAnsi="Calibri" w:cs="Arial"/>
          <w:color w:val="0F0F0F"/>
          <w:sz w:val="20"/>
          <w:szCs w:val="20"/>
        </w:rPr>
        <w:t>AGEVOLAZIONI</w:t>
      </w:r>
    </w:p>
    <w:p w14:paraId="59E16C51" w14:textId="5CCEFFC7"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BB42D9">
        <w:rPr>
          <w:rFonts w:ascii="Arial" w:eastAsia="Arial" w:hAnsi="Arial" w:cs="Arial"/>
          <w:b/>
          <w:bCs/>
          <w:color w:val="000000"/>
          <w:sz w:val="20"/>
          <w:szCs w:val="20"/>
        </w:rPr>
        <w:t>La Manovra 2026 e il ritorno dell'</w:t>
      </w:r>
      <w:proofErr w:type="spellStart"/>
      <w:r w:rsidR="00A4723D" w:rsidRPr="00BB42D9">
        <w:rPr>
          <w:rFonts w:ascii="Arial" w:eastAsia="Arial" w:hAnsi="Arial" w:cs="Arial"/>
          <w:b/>
          <w:bCs/>
          <w:color w:val="000000"/>
          <w:sz w:val="20"/>
          <w:szCs w:val="20"/>
        </w:rPr>
        <w:t>i</w:t>
      </w:r>
      <w:r w:rsidRPr="00BB42D9">
        <w:rPr>
          <w:rFonts w:ascii="Arial" w:eastAsia="Arial" w:hAnsi="Arial" w:cs="Arial"/>
          <w:b/>
          <w:bCs/>
          <w:color w:val="000000"/>
          <w:sz w:val="20"/>
          <w:szCs w:val="20"/>
        </w:rPr>
        <w:t>perammortamento</w:t>
      </w:r>
      <w:proofErr w:type="spellEnd"/>
    </w:p>
    <w:p w14:paraId="4FA28102" w14:textId="405AE1CF" w:rsidR="00FC1CE9" w:rsidRPr="00BB42D9" w:rsidRDefault="00BB42D9"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BB42D9">
        <w:rPr>
          <w:rFonts w:ascii="Arial" w:eastAsia="Arial" w:hAnsi="Arial" w:cs="Arial"/>
          <w:i/>
          <w:iCs/>
          <w:color w:val="000000"/>
          <w:sz w:val="20"/>
          <w:szCs w:val="20"/>
        </w:rPr>
        <w:t>Ddl Bilancio, A.S. 1689, art. 94</w:t>
      </w:r>
    </w:p>
    <w:p w14:paraId="2ED81133" w14:textId="2A056075"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Le prime bozze della Manovra 2026 contengono novità che potrebbero influenzare le decisioni di investimento già a partire dal 2025.</w:t>
      </w:r>
      <w:r w:rsidR="00EE0D15" w:rsidRPr="00A4723D">
        <w:rPr>
          <w:rFonts w:ascii="Arial" w:eastAsia="Arial" w:hAnsi="Arial" w:cs="Arial"/>
          <w:color w:val="000000"/>
          <w:sz w:val="20"/>
          <w:szCs w:val="20"/>
        </w:rPr>
        <w:t xml:space="preserve"> </w:t>
      </w:r>
      <w:r w:rsidRPr="00A4723D">
        <w:rPr>
          <w:rFonts w:ascii="Arial" w:eastAsia="Arial" w:hAnsi="Arial" w:cs="Arial"/>
          <w:color w:val="000000"/>
          <w:sz w:val="20"/>
          <w:szCs w:val="20"/>
        </w:rPr>
        <w:t>Sebbene il testo non sia ancora definitivo, è importante valutare la direzione che il legislatore intende prendere.</w:t>
      </w:r>
    </w:p>
    <w:p w14:paraId="76EBECE5" w14:textId="0C1E8EC9"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Una delle novità principali è il ritorno del cosiddetto "</w:t>
      </w:r>
      <w:proofErr w:type="spellStart"/>
      <w:r w:rsidR="00BB42D9">
        <w:rPr>
          <w:rFonts w:ascii="Arial" w:eastAsia="Arial" w:hAnsi="Arial" w:cs="Arial"/>
          <w:color w:val="000000"/>
          <w:sz w:val="20"/>
          <w:szCs w:val="20"/>
        </w:rPr>
        <w:t>i</w:t>
      </w:r>
      <w:r w:rsidRPr="00A4723D">
        <w:rPr>
          <w:rFonts w:ascii="Arial" w:eastAsia="Arial" w:hAnsi="Arial" w:cs="Arial"/>
          <w:color w:val="000000"/>
          <w:sz w:val="20"/>
          <w:szCs w:val="20"/>
        </w:rPr>
        <w:t>perammortamento</w:t>
      </w:r>
      <w:proofErr w:type="spellEnd"/>
      <w:r w:rsidRPr="00A4723D">
        <w:rPr>
          <w:rFonts w:ascii="Arial" w:eastAsia="Arial" w:hAnsi="Arial" w:cs="Arial"/>
          <w:color w:val="000000"/>
          <w:sz w:val="20"/>
          <w:szCs w:val="20"/>
        </w:rPr>
        <w:t>", che dovrebbe sostituire gli attuali crediti d'imposta per gli investimenti in beni strumentali 4.0.</w:t>
      </w:r>
    </w:p>
    <w:p w14:paraId="26A93DD7" w14:textId="4D9EE9E1"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 xml:space="preserve">La bozza prevede una </w:t>
      </w:r>
      <w:r w:rsidRPr="00BB42D9">
        <w:rPr>
          <w:rFonts w:ascii="Arial" w:eastAsia="Arial" w:hAnsi="Arial" w:cs="Arial"/>
          <w:b/>
          <w:bCs/>
          <w:color w:val="000000"/>
          <w:sz w:val="20"/>
          <w:szCs w:val="20"/>
        </w:rPr>
        <w:t>maggiorazione del costo di acquisto ai fini dell'ammortamento, con aliquote diverse a seconda dell'investimento</w:t>
      </w:r>
      <w:r w:rsidRPr="00A4723D">
        <w:rPr>
          <w:rFonts w:ascii="Arial" w:eastAsia="Arial" w:hAnsi="Arial" w:cs="Arial"/>
          <w:color w:val="000000"/>
          <w:sz w:val="20"/>
          <w:szCs w:val="20"/>
        </w:rPr>
        <w:t>.</w:t>
      </w:r>
    </w:p>
    <w:p w14:paraId="79177D91" w14:textId="434C3EA1"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1. Investimenti Standard (Beni Materiali 4.0)</w:t>
      </w:r>
      <w:r w:rsidR="00BB42D9">
        <w:rPr>
          <w:rFonts w:ascii="Arial" w:eastAsia="Arial" w:hAnsi="Arial" w:cs="Arial"/>
          <w:color w:val="000000"/>
          <w:sz w:val="20"/>
          <w:szCs w:val="20"/>
        </w:rPr>
        <w:t>:</w:t>
      </w:r>
    </w:p>
    <w:p w14:paraId="4D922FEE" w14:textId="5F0B6C8B" w:rsidR="00374496" w:rsidRPr="00A4723D" w:rsidRDefault="00374496" w:rsidP="009C475F">
      <w:pPr>
        <w:pStyle w:val="Paragrafoelenco"/>
        <w:numPr>
          <w:ilvl w:val="0"/>
          <w:numId w:val="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180% per investimenti fino a 2,5 milioni di euro</w:t>
      </w:r>
      <w:r w:rsidR="00BB42D9">
        <w:rPr>
          <w:rFonts w:ascii="Arial" w:eastAsia="Arial" w:hAnsi="Arial" w:cs="Arial"/>
          <w:color w:val="000000"/>
          <w:sz w:val="20"/>
          <w:szCs w:val="20"/>
        </w:rPr>
        <w:t>;</w:t>
      </w:r>
    </w:p>
    <w:p w14:paraId="17343AD8" w14:textId="54500A54" w:rsidR="00374496" w:rsidRPr="00A4723D" w:rsidRDefault="00374496" w:rsidP="009C475F">
      <w:pPr>
        <w:pStyle w:val="Paragrafoelenco"/>
        <w:numPr>
          <w:ilvl w:val="0"/>
          <w:numId w:val="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100% per la quota tra 2,5 e 10 milioni di euro</w:t>
      </w:r>
      <w:r w:rsidR="00BB42D9">
        <w:rPr>
          <w:rFonts w:ascii="Arial" w:eastAsia="Arial" w:hAnsi="Arial" w:cs="Arial"/>
          <w:color w:val="000000"/>
          <w:sz w:val="20"/>
          <w:szCs w:val="20"/>
        </w:rPr>
        <w:t>;</w:t>
      </w:r>
    </w:p>
    <w:p w14:paraId="374E9392" w14:textId="1DA91FB2" w:rsidR="00374496" w:rsidRPr="00A4723D" w:rsidRDefault="00374496" w:rsidP="009C475F">
      <w:pPr>
        <w:pStyle w:val="Paragrafoelenco"/>
        <w:numPr>
          <w:ilvl w:val="0"/>
          <w:numId w:val="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50% per la quota tra 10 e 20 milioni di euro</w:t>
      </w:r>
      <w:r w:rsidR="00BB42D9">
        <w:rPr>
          <w:rFonts w:ascii="Arial" w:eastAsia="Arial" w:hAnsi="Arial" w:cs="Arial"/>
          <w:color w:val="000000"/>
          <w:sz w:val="20"/>
          <w:szCs w:val="20"/>
        </w:rPr>
        <w:t>.</w:t>
      </w:r>
    </w:p>
    <w:p w14:paraId="396A1461" w14:textId="77777777"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2. Investimenti "Green" (con risparmio energetico 3%-5%) Per gli investimenti che garantiscono un significativo risparmio energetico, le aliquote sarebbero potenziate:</w:t>
      </w:r>
    </w:p>
    <w:p w14:paraId="5366D718" w14:textId="01E44A2A" w:rsidR="00374496" w:rsidRPr="00A4723D" w:rsidRDefault="00374496" w:rsidP="009C475F">
      <w:pPr>
        <w:pStyle w:val="Paragrafoelenco"/>
        <w:numPr>
          <w:ilvl w:val="0"/>
          <w:numId w:val="6"/>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220% (fino a 2,5 milioni)</w:t>
      </w:r>
      <w:r w:rsidR="00BB42D9">
        <w:rPr>
          <w:rFonts w:ascii="Arial" w:eastAsia="Arial" w:hAnsi="Arial" w:cs="Arial"/>
          <w:color w:val="000000"/>
          <w:sz w:val="20"/>
          <w:szCs w:val="20"/>
        </w:rPr>
        <w:t>;</w:t>
      </w:r>
    </w:p>
    <w:p w14:paraId="35A65469" w14:textId="2DFDEEE5" w:rsidR="00374496" w:rsidRPr="00A4723D" w:rsidRDefault="00374496" w:rsidP="009C475F">
      <w:pPr>
        <w:pStyle w:val="Paragrafoelenco"/>
        <w:numPr>
          <w:ilvl w:val="0"/>
          <w:numId w:val="6"/>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140% (tra 2,5 e 10 milioni)</w:t>
      </w:r>
      <w:r w:rsidR="00BB42D9">
        <w:rPr>
          <w:rFonts w:ascii="Arial" w:eastAsia="Arial" w:hAnsi="Arial" w:cs="Arial"/>
          <w:color w:val="000000"/>
          <w:sz w:val="20"/>
          <w:szCs w:val="20"/>
        </w:rPr>
        <w:t>;</w:t>
      </w:r>
    </w:p>
    <w:p w14:paraId="49CA702B" w14:textId="01C2A588" w:rsidR="00374496" w:rsidRPr="00A4723D" w:rsidRDefault="00374496" w:rsidP="009C475F">
      <w:pPr>
        <w:pStyle w:val="Paragrafoelenco"/>
        <w:numPr>
          <w:ilvl w:val="0"/>
          <w:numId w:val="6"/>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A4723D">
        <w:rPr>
          <w:rFonts w:ascii="Arial" w:eastAsia="Arial" w:hAnsi="Arial" w:cs="Arial"/>
          <w:color w:val="000000"/>
          <w:sz w:val="20"/>
          <w:szCs w:val="20"/>
        </w:rPr>
        <w:t>90% (tra 10 e 20 milioni)</w:t>
      </w:r>
      <w:r w:rsidR="00BB42D9">
        <w:rPr>
          <w:rFonts w:ascii="Arial" w:eastAsia="Arial" w:hAnsi="Arial" w:cs="Arial"/>
          <w:color w:val="000000"/>
          <w:sz w:val="20"/>
          <w:szCs w:val="20"/>
        </w:rPr>
        <w:t>.</w:t>
      </w:r>
    </w:p>
    <w:p w14:paraId="5848369B" w14:textId="0918059A"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L'incentivo dovrebbe essere automatico, ma richiederà comunque la presentazione di comunicazioni specifiche.</w:t>
      </w:r>
    </w:p>
    <w:p w14:paraId="40C99E88" w14:textId="799BAC80"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 xml:space="preserve">Resterà necessaria una </w:t>
      </w:r>
      <w:r w:rsidRPr="00BB42D9">
        <w:rPr>
          <w:rFonts w:ascii="Arial" w:eastAsia="Arial" w:hAnsi="Arial" w:cs="Arial"/>
          <w:b/>
          <w:bCs/>
          <w:color w:val="000000"/>
          <w:sz w:val="20"/>
          <w:szCs w:val="20"/>
        </w:rPr>
        <w:t>documentazione tecnica</w:t>
      </w:r>
      <w:r w:rsidRPr="00A4723D">
        <w:rPr>
          <w:rFonts w:ascii="Arial" w:eastAsia="Arial" w:hAnsi="Arial" w:cs="Arial"/>
          <w:color w:val="000000"/>
          <w:sz w:val="20"/>
          <w:szCs w:val="20"/>
        </w:rPr>
        <w:t xml:space="preserve"> (certificazioni o perizie, come già avviene) per attestare le caratteristiche degli investimenti.</w:t>
      </w:r>
    </w:p>
    <w:p w14:paraId="7ED51FF1" w14:textId="7FB2BE6B" w:rsidR="00374496" w:rsidRPr="00A4723D" w:rsidRDefault="00374496"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4723D">
        <w:rPr>
          <w:rFonts w:ascii="Arial" w:eastAsia="Arial" w:hAnsi="Arial" w:cs="Arial"/>
          <w:color w:val="000000"/>
          <w:sz w:val="20"/>
          <w:szCs w:val="20"/>
        </w:rPr>
        <w:t>I dettagli operativi (come la definizione esatta di "investimento green") saranno definiti solo con un apposito decreto attuativo.</w:t>
      </w:r>
    </w:p>
    <w:p w14:paraId="12AC561A" w14:textId="77777777" w:rsidR="00100FD3" w:rsidRPr="00BB42D9" w:rsidRDefault="00100FD3" w:rsidP="00A4723D">
      <w:pPr>
        <w:pBdr>
          <w:top w:val="nil"/>
          <w:left w:val="nil"/>
          <w:bottom w:val="nil"/>
          <w:right w:val="nil"/>
          <w:between w:val="nil"/>
        </w:pBdr>
        <w:tabs>
          <w:tab w:val="left" w:pos="2160"/>
          <w:tab w:val="left" w:pos="3168"/>
          <w:tab w:val="left" w:pos="4838"/>
        </w:tabs>
        <w:spacing w:line="300" w:lineRule="atLeast"/>
        <w:ind w:leftChars="0" w:left="0" w:firstLineChars="0" w:firstLine="0"/>
        <w:jc w:val="both"/>
        <w:rPr>
          <w:rFonts w:ascii="Arial" w:eastAsia="Arial" w:hAnsi="Arial" w:cs="Arial"/>
          <w:iCs/>
          <w:color w:val="000000"/>
          <w:sz w:val="20"/>
          <w:szCs w:val="20"/>
        </w:rPr>
      </w:pPr>
    </w:p>
    <w:p w14:paraId="77CB33ED" w14:textId="77777777" w:rsidR="00100FD3" w:rsidRPr="00BB42D9" w:rsidRDefault="00100FD3" w:rsidP="00A4723D">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Cs/>
          <w:color w:val="000000"/>
          <w:sz w:val="20"/>
          <w:szCs w:val="20"/>
        </w:rPr>
      </w:pPr>
    </w:p>
    <w:tbl>
      <w:tblPr>
        <w:tblStyle w:val="a4"/>
        <w:tblW w:w="10625" w:type="dxa"/>
        <w:tblInd w:w="0" w:type="dxa"/>
        <w:tblLayout w:type="fixed"/>
        <w:tblLook w:val="0000" w:firstRow="0" w:lastRow="0" w:firstColumn="0" w:lastColumn="0" w:noHBand="0" w:noVBand="0"/>
      </w:tblPr>
      <w:tblGrid>
        <w:gridCol w:w="3700"/>
        <w:gridCol w:w="1120"/>
        <w:gridCol w:w="5805"/>
      </w:tblGrid>
      <w:tr w:rsidR="00100FD3" w14:paraId="66F2DF75" w14:textId="77777777" w:rsidTr="00107D84">
        <w:trPr>
          <w:trHeight w:val="255"/>
        </w:trPr>
        <w:tc>
          <w:tcPr>
            <w:tcW w:w="10625" w:type="dxa"/>
            <w:gridSpan w:val="3"/>
            <w:tcBorders>
              <w:top w:val="nil"/>
              <w:left w:val="nil"/>
              <w:bottom w:val="nil"/>
              <w:right w:val="nil"/>
            </w:tcBorders>
          </w:tcPr>
          <w:p w14:paraId="5036F21B" w14:textId="77777777" w:rsid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lastRenderedPageBreak/>
              <w:t>PROFILO</w:t>
            </w:r>
          </w:p>
        </w:tc>
      </w:tr>
      <w:tr w:rsidR="00100FD3" w14:paraId="7CAA6B23" w14:textId="77777777" w:rsidTr="00107D84">
        <w:trPr>
          <w:trHeight w:val="255"/>
        </w:trPr>
        <w:tc>
          <w:tcPr>
            <w:tcW w:w="10625" w:type="dxa"/>
            <w:gridSpan w:val="3"/>
            <w:tcBorders>
              <w:top w:val="nil"/>
              <w:left w:val="nil"/>
              <w:bottom w:val="nil"/>
              <w:right w:val="nil"/>
            </w:tcBorders>
          </w:tcPr>
          <w:p w14:paraId="0E7369B1"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Consorzi</w:t>
            </w:r>
          </w:p>
        </w:tc>
      </w:tr>
      <w:tr w:rsidR="00100FD3" w14:paraId="2C6D2228" w14:textId="77777777" w:rsidTr="00107D84">
        <w:trPr>
          <w:trHeight w:val="255"/>
        </w:trPr>
        <w:tc>
          <w:tcPr>
            <w:tcW w:w="10625" w:type="dxa"/>
            <w:gridSpan w:val="3"/>
            <w:tcBorders>
              <w:top w:val="nil"/>
              <w:left w:val="nil"/>
              <w:bottom w:val="nil"/>
              <w:right w:val="nil"/>
            </w:tcBorders>
          </w:tcPr>
          <w:p w14:paraId="30DD14A1"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Condomini</w:t>
            </w:r>
          </w:p>
        </w:tc>
      </w:tr>
      <w:tr w:rsidR="00100FD3" w14:paraId="0BDEF9F1" w14:textId="77777777" w:rsidTr="00107D84">
        <w:trPr>
          <w:trHeight w:val="255"/>
        </w:trPr>
        <w:tc>
          <w:tcPr>
            <w:tcW w:w="10625" w:type="dxa"/>
            <w:gridSpan w:val="3"/>
            <w:tcBorders>
              <w:top w:val="nil"/>
              <w:left w:val="nil"/>
              <w:bottom w:val="nil"/>
              <w:right w:val="nil"/>
            </w:tcBorders>
          </w:tcPr>
          <w:p w14:paraId="71C41ED0"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 xml:space="preserve">Enti </w:t>
            </w:r>
            <w:proofErr w:type="spellStart"/>
            <w:r w:rsidRPr="00100FD3">
              <w:rPr>
                <w:rFonts w:ascii="Calibri" w:eastAsia="Calibri" w:hAnsi="Calibri" w:cs="Calibri"/>
                <w:color w:val="330033"/>
                <w:sz w:val="20"/>
                <w:szCs w:val="20"/>
                <w:highlight w:val="green"/>
              </w:rPr>
              <w:t>no</w:t>
            </w:r>
            <w:proofErr w:type="spellEnd"/>
            <w:r w:rsidRPr="00100FD3">
              <w:rPr>
                <w:rFonts w:ascii="Calibri" w:eastAsia="Calibri" w:hAnsi="Calibri" w:cs="Calibri"/>
                <w:color w:val="330033"/>
                <w:sz w:val="20"/>
                <w:szCs w:val="20"/>
                <w:highlight w:val="green"/>
              </w:rPr>
              <w:t xml:space="preserve"> profit</w:t>
            </w:r>
          </w:p>
        </w:tc>
      </w:tr>
      <w:tr w:rsidR="00100FD3" w14:paraId="71DE8A67" w14:textId="77777777" w:rsidTr="00107D84">
        <w:trPr>
          <w:trHeight w:val="255"/>
        </w:trPr>
        <w:tc>
          <w:tcPr>
            <w:tcW w:w="10625" w:type="dxa"/>
            <w:gridSpan w:val="3"/>
            <w:tcBorders>
              <w:top w:val="nil"/>
              <w:left w:val="nil"/>
              <w:bottom w:val="nil"/>
              <w:right w:val="nil"/>
            </w:tcBorders>
          </w:tcPr>
          <w:p w14:paraId="04274714"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Imprese</w:t>
            </w:r>
          </w:p>
        </w:tc>
      </w:tr>
      <w:tr w:rsidR="00100FD3" w14:paraId="539874A6" w14:textId="77777777" w:rsidTr="00107D84">
        <w:trPr>
          <w:trHeight w:val="255"/>
        </w:trPr>
        <w:tc>
          <w:tcPr>
            <w:tcW w:w="10625" w:type="dxa"/>
            <w:gridSpan w:val="3"/>
            <w:tcBorders>
              <w:top w:val="nil"/>
              <w:left w:val="nil"/>
              <w:bottom w:val="nil"/>
              <w:right w:val="nil"/>
            </w:tcBorders>
          </w:tcPr>
          <w:p w14:paraId="01707DD8"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Lavoratori autonomi</w:t>
            </w:r>
          </w:p>
        </w:tc>
      </w:tr>
      <w:tr w:rsidR="00100FD3" w14:paraId="50C50B87" w14:textId="77777777" w:rsidTr="00107D84">
        <w:trPr>
          <w:trHeight w:val="255"/>
        </w:trPr>
        <w:tc>
          <w:tcPr>
            <w:tcW w:w="10625" w:type="dxa"/>
            <w:gridSpan w:val="3"/>
            <w:tcBorders>
              <w:top w:val="nil"/>
              <w:left w:val="nil"/>
              <w:bottom w:val="nil"/>
              <w:right w:val="nil"/>
            </w:tcBorders>
          </w:tcPr>
          <w:p w14:paraId="1ABFF274"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E478C0">
              <w:rPr>
                <w:rFonts w:ascii="Calibri" w:eastAsia="Calibri" w:hAnsi="Calibri" w:cs="Calibri"/>
                <w:color w:val="330033"/>
                <w:sz w:val="20"/>
                <w:szCs w:val="20"/>
              </w:rPr>
              <w:t>Persone fisiche</w:t>
            </w:r>
          </w:p>
        </w:tc>
      </w:tr>
      <w:tr w:rsidR="00100FD3" w14:paraId="7BD6AA8A" w14:textId="77777777" w:rsidTr="00107D84">
        <w:trPr>
          <w:trHeight w:val="255"/>
        </w:trPr>
        <w:tc>
          <w:tcPr>
            <w:tcW w:w="10625" w:type="dxa"/>
            <w:gridSpan w:val="3"/>
            <w:tcBorders>
              <w:top w:val="nil"/>
              <w:left w:val="nil"/>
              <w:bottom w:val="nil"/>
              <w:right w:val="nil"/>
            </w:tcBorders>
          </w:tcPr>
          <w:p w14:paraId="32582D82"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capitali</w:t>
            </w:r>
          </w:p>
        </w:tc>
      </w:tr>
      <w:tr w:rsidR="00100FD3" w14:paraId="04A75470" w14:textId="77777777" w:rsidTr="00107D84">
        <w:trPr>
          <w:trHeight w:val="255"/>
        </w:trPr>
        <w:tc>
          <w:tcPr>
            <w:tcW w:w="10625" w:type="dxa"/>
            <w:gridSpan w:val="3"/>
            <w:tcBorders>
              <w:top w:val="nil"/>
              <w:left w:val="nil"/>
              <w:bottom w:val="nil"/>
              <w:right w:val="nil"/>
            </w:tcBorders>
          </w:tcPr>
          <w:p w14:paraId="755979EC" w14:textId="77777777" w:rsidR="00100FD3" w:rsidRPr="00100FD3" w:rsidRDefault="00100FD3"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persone</w:t>
            </w:r>
          </w:p>
        </w:tc>
      </w:tr>
      <w:tr w:rsidR="00100FD3" w14:paraId="1D2AB838" w14:textId="77777777" w:rsidTr="00107D84">
        <w:trPr>
          <w:trHeight w:val="315"/>
        </w:trPr>
        <w:tc>
          <w:tcPr>
            <w:tcW w:w="3700" w:type="dxa"/>
            <w:tcBorders>
              <w:top w:val="single" w:sz="4" w:space="0" w:color="000000"/>
              <w:left w:val="single" w:sz="4" w:space="0" w:color="000000"/>
              <w:bottom w:val="single" w:sz="12" w:space="0" w:color="000000"/>
              <w:right w:val="single" w:sz="4" w:space="0" w:color="000000"/>
            </w:tcBorders>
          </w:tcPr>
          <w:p w14:paraId="225F105A" w14:textId="77777777" w:rsidR="00100FD3" w:rsidRDefault="00100FD3" w:rsidP="00107D84">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340300FF" w14:textId="77777777" w:rsidR="00100FD3" w:rsidRDefault="00100FD3" w:rsidP="00107D84">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724A083B" w14:textId="77777777" w:rsidR="00100FD3" w:rsidRDefault="00100FD3" w:rsidP="00107D84">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0AEA0EB2" w14:textId="77777777" w:rsidR="00100FD3" w:rsidRDefault="00100FD3" w:rsidP="00BB42D9">
      <w:pPr>
        <w:pBdr>
          <w:top w:val="nil"/>
          <w:left w:val="nil"/>
          <w:bottom w:val="nil"/>
          <w:right w:val="nil"/>
          <w:between w:val="nil"/>
        </w:pBdr>
        <w:tabs>
          <w:tab w:val="left" w:pos="2160"/>
          <w:tab w:val="left" w:pos="3168"/>
          <w:tab w:val="left" w:pos="4838"/>
        </w:tabs>
        <w:spacing w:line="300" w:lineRule="atLeast"/>
        <w:ind w:leftChars="0" w:left="0" w:firstLineChars="0" w:firstLine="0"/>
        <w:jc w:val="both"/>
        <w:rPr>
          <w:rFonts w:ascii="Arial" w:eastAsia="Arial" w:hAnsi="Arial" w:cs="Arial"/>
          <w:iCs/>
          <w:color w:val="000000"/>
          <w:sz w:val="20"/>
          <w:szCs w:val="20"/>
        </w:rPr>
      </w:pPr>
    </w:p>
    <w:p w14:paraId="0A9519FD" w14:textId="1C02DE9A" w:rsidR="00BB42D9" w:rsidRPr="00BB42D9" w:rsidRDefault="00BB42D9" w:rsidP="00BB42D9">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BB42D9">
        <w:rPr>
          <w:rFonts w:ascii="Calibri" w:hAnsi="Calibri" w:cs="Arial"/>
          <w:color w:val="0F0F0F"/>
          <w:sz w:val="20"/>
          <w:szCs w:val="20"/>
        </w:rPr>
        <w:t>IVA</w:t>
      </w:r>
    </w:p>
    <w:p w14:paraId="19F22341" w14:textId="3AFE1C19" w:rsidR="00E478C0" w:rsidRPr="00BB42D9" w:rsidRDefault="00E478C0"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b/>
          <w:bCs/>
          <w:color w:val="000000"/>
          <w:sz w:val="20"/>
          <w:szCs w:val="20"/>
        </w:rPr>
      </w:pPr>
      <w:r w:rsidRPr="00BB42D9">
        <w:rPr>
          <w:rFonts w:ascii="Arial" w:eastAsia="Arial" w:hAnsi="Arial" w:cs="Arial"/>
          <w:b/>
          <w:bCs/>
          <w:color w:val="000000"/>
          <w:sz w:val="20"/>
          <w:szCs w:val="20"/>
        </w:rPr>
        <w:t xml:space="preserve">Split </w:t>
      </w:r>
      <w:r w:rsidR="00BB42D9" w:rsidRPr="00BB42D9">
        <w:rPr>
          <w:rFonts w:ascii="Arial" w:eastAsia="Arial" w:hAnsi="Arial" w:cs="Arial"/>
          <w:b/>
          <w:bCs/>
          <w:color w:val="000000"/>
          <w:sz w:val="20"/>
          <w:szCs w:val="20"/>
        </w:rPr>
        <w:t>p</w:t>
      </w:r>
      <w:r w:rsidRPr="00BB42D9">
        <w:rPr>
          <w:rFonts w:ascii="Arial" w:eastAsia="Arial" w:hAnsi="Arial" w:cs="Arial"/>
          <w:b/>
          <w:bCs/>
          <w:color w:val="000000"/>
          <w:sz w:val="20"/>
          <w:szCs w:val="20"/>
        </w:rPr>
        <w:t>ayment: il MEF pubblica gli elenchi 2026</w:t>
      </w:r>
    </w:p>
    <w:p w14:paraId="4E6AC034" w14:textId="44CF6C8F" w:rsidR="00E478C0" w:rsidRPr="00BB42D9" w:rsidRDefault="00E478C0"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r w:rsidRPr="00BB42D9">
        <w:rPr>
          <w:rFonts w:ascii="Arial" w:eastAsia="Arial" w:hAnsi="Arial" w:cs="Arial"/>
          <w:color w:val="000000"/>
          <w:sz w:val="20"/>
          <w:szCs w:val="20"/>
        </w:rPr>
        <w:t>Sul sito internet del Dipartimento delle Finanze sono stati pubblicati gli elenchi dei soggetti (enti, fondazioni e società) tenuti all’applicazione del meccanismo della</w:t>
      </w:r>
      <w:r w:rsidR="00BB42D9">
        <w:rPr>
          <w:rFonts w:ascii="Arial" w:eastAsia="Arial" w:hAnsi="Arial" w:cs="Arial"/>
          <w:color w:val="000000"/>
          <w:sz w:val="20"/>
          <w:szCs w:val="20"/>
        </w:rPr>
        <w:t xml:space="preserve"> </w:t>
      </w:r>
      <w:r w:rsidRPr="00BB42D9">
        <w:rPr>
          <w:rFonts w:ascii="Arial" w:eastAsia="Arial" w:hAnsi="Arial" w:cs="Arial"/>
          <w:b/>
          <w:bCs/>
          <w:color w:val="000000"/>
          <w:sz w:val="20"/>
          <w:szCs w:val="20"/>
        </w:rPr>
        <w:t>scissione dei pagamenti</w:t>
      </w:r>
      <w:r w:rsidR="00BB42D9">
        <w:rPr>
          <w:rFonts w:ascii="Arial" w:eastAsia="Arial" w:hAnsi="Arial" w:cs="Arial"/>
          <w:b/>
          <w:bCs/>
          <w:color w:val="000000"/>
          <w:sz w:val="20"/>
          <w:szCs w:val="20"/>
        </w:rPr>
        <w:t xml:space="preserve"> </w:t>
      </w:r>
      <w:r w:rsidRPr="00BB42D9">
        <w:rPr>
          <w:rFonts w:ascii="Arial" w:eastAsia="Arial" w:hAnsi="Arial" w:cs="Arial"/>
          <w:color w:val="000000"/>
          <w:sz w:val="20"/>
          <w:szCs w:val="20"/>
        </w:rPr>
        <w:t>per il 2026.</w:t>
      </w:r>
    </w:p>
    <w:p w14:paraId="705C6986" w14:textId="77C37557" w:rsidR="00E478C0" w:rsidRPr="00BB42D9" w:rsidRDefault="00E478C0"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r w:rsidRPr="00BB42D9">
        <w:rPr>
          <w:rFonts w:ascii="Arial" w:eastAsia="Arial" w:hAnsi="Arial" w:cs="Arial"/>
          <w:color w:val="000000"/>
          <w:sz w:val="20"/>
          <w:szCs w:val="20"/>
        </w:rPr>
        <w:t>Gli elenchi,</w:t>
      </w:r>
      <w:r w:rsidR="00BB42D9">
        <w:rPr>
          <w:rFonts w:ascii="Arial" w:eastAsia="Arial" w:hAnsi="Arial" w:cs="Arial"/>
          <w:color w:val="000000"/>
          <w:sz w:val="20"/>
          <w:szCs w:val="20"/>
        </w:rPr>
        <w:t xml:space="preserve"> </w:t>
      </w:r>
      <w:r w:rsidRPr="00BB42D9">
        <w:rPr>
          <w:rFonts w:ascii="Arial" w:eastAsia="Arial" w:hAnsi="Arial" w:cs="Arial"/>
          <w:b/>
          <w:bCs/>
          <w:color w:val="000000"/>
          <w:sz w:val="20"/>
          <w:szCs w:val="20"/>
        </w:rPr>
        <w:t>aggiornati al 20 ottobre 2025</w:t>
      </w:r>
      <w:r w:rsidR="00BB42D9">
        <w:rPr>
          <w:rFonts w:ascii="Arial" w:eastAsia="Arial" w:hAnsi="Arial" w:cs="Arial"/>
          <w:b/>
          <w:bCs/>
          <w:color w:val="000000"/>
          <w:sz w:val="20"/>
          <w:szCs w:val="20"/>
        </w:rPr>
        <w:t xml:space="preserve"> </w:t>
      </w:r>
      <w:r w:rsidRPr="00BB42D9">
        <w:rPr>
          <w:rFonts w:ascii="Arial" w:eastAsia="Arial" w:hAnsi="Arial" w:cs="Arial"/>
          <w:color w:val="000000"/>
          <w:sz w:val="20"/>
          <w:szCs w:val="20"/>
        </w:rPr>
        <w:t>e consultabili sulla specifica</w:t>
      </w:r>
      <w:r w:rsidR="00BB42D9">
        <w:rPr>
          <w:rFonts w:ascii="Arial" w:eastAsia="Arial" w:hAnsi="Arial" w:cs="Arial"/>
          <w:color w:val="000000"/>
          <w:sz w:val="20"/>
          <w:szCs w:val="20"/>
        </w:rPr>
        <w:t xml:space="preserve"> </w:t>
      </w:r>
      <w:r w:rsidRPr="00BB42D9">
        <w:rPr>
          <w:rFonts w:ascii="Arial" w:eastAsia="Arial" w:hAnsi="Arial" w:cs="Arial"/>
          <w:sz w:val="20"/>
          <w:szCs w:val="20"/>
        </w:rPr>
        <w:t>applicazione informatica</w:t>
      </w:r>
      <w:r w:rsidRPr="00BB42D9">
        <w:rPr>
          <w:rFonts w:ascii="Arial" w:eastAsia="Arial" w:hAnsi="Arial" w:cs="Arial"/>
          <w:color w:val="000000"/>
          <w:sz w:val="20"/>
          <w:szCs w:val="20"/>
        </w:rPr>
        <w:t>, sono i seguenti:</w:t>
      </w:r>
    </w:p>
    <w:p w14:paraId="24492355" w14:textId="6CFB864F" w:rsidR="00E478C0" w:rsidRPr="00BB42D9" w:rsidRDefault="00E478C0" w:rsidP="009C475F">
      <w:pPr>
        <w:pStyle w:val="Paragrafoelenco"/>
        <w:numPr>
          <w:ilvl w:val="0"/>
          <w:numId w:val="8"/>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B42D9">
        <w:rPr>
          <w:rFonts w:ascii="Arial" w:eastAsia="Arial" w:hAnsi="Arial" w:cs="Arial"/>
          <w:sz w:val="20"/>
          <w:szCs w:val="20"/>
        </w:rPr>
        <w:t xml:space="preserve">Società controllate di fatto dalla Presidenza del </w:t>
      </w:r>
      <w:proofErr w:type="gramStart"/>
      <w:r w:rsidRPr="00BB42D9">
        <w:rPr>
          <w:rFonts w:ascii="Arial" w:eastAsia="Arial" w:hAnsi="Arial" w:cs="Arial"/>
          <w:sz w:val="20"/>
          <w:szCs w:val="20"/>
        </w:rPr>
        <w:t>Consiglio dei Ministri</w:t>
      </w:r>
      <w:proofErr w:type="gramEnd"/>
      <w:r w:rsidRPr="00BB42D9">
        <w:rPr>
          <w:rFonts w:ascii="Arial" w:eastAsia="Arial" w:hAnsi="Arial" w:cs="Arial"/>
          <w:sz w:val="20"/>
          <w:szCs w:val="20"/>
        </w:rPr>
        <w:t xml:space="preserve"> e dai Ministeri</w:t>
      </w:r>
      <w:r w:rsidRPr="00BB42D9">
        <w:rPr>
          <w:rFonts w:ascii="Arial" w:eastAsia="Arial" w:hAnsi="Arial" w:cs="Arial"/>
          <w:color w:val="000000"/>
          <w:sz w:val="20"/>
          <w:szCs w:val="20"/>
        </w:rPr>
        <w:t>;</w:t>
      </w:r>
    </w:p>
    <w:p w14:paraId="24DD2BB4" w14:textId="5B5B9D9A" w:rsidR="00E478C0" w:rsidRPr="00BB42D9" w:rsidRDefault="00E478C0" w:rsidP="009C475F">
      <w:pPr>
        <w:pStyle w:val="Paragrafoelenco"/>
        <w:numPr>
          <w:ilvl w:val="0"/>
          <w:numId w:val="8"/>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B42D9">
        <w:rPr>
          <w:rFonts w:ascii="Arial" w:eastAsia="Arial" w:hAnsi="Arial" w:cs="Arial"/>
          <w:sz w:val="20"/>
          <w:szCs w:val="20"/>
        </w:rPr>
        <w:t>Enti o società controllate dalle Amministrazioni Centrali</w:t>
      </w:r>
      <w:r w:rsidRPr="00BB42D9">
        <w:rPr>
          <w:rFonts w:ascii="Arial" w:eastAsia="Arial" w:hAnsi="Arial" w:cs="Arial"/>
          <w:color w:val="000000"/>
          <w:sz w:val="20"/>
          <w:szCs w:val="20"/>
        </w:rPr>
        <w:t>;</w:t>
      </w:r>
    </w:p>
    <w:p w14:paraId="53E2583B" w14:textId="4EEF5B2A" w:rsidR="00E478C0" w:rsidRPr="00BB42D9" w:rsidRDefault="00E478C0" w:rsidP="009C475F">
      <w:pPr>
        <w:pStyle w:val="Paragrafoelenco"/>
        <w:numPr>
          <w:ilvl w:val="0"/>
          <w:numId w:val="8"/>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B42D9">
        <w:rPr>
          <w:rFonts w:ascii="Arial" w:eastAsia="Arial" w:hAnsi="Arial" w:cs="Arial"/>
          <w:sz w:val="20"/>
          <w:szCs w:val="20"/>
        </w:rPr>
        <w:t>Enti o società controllate dalle Amministrazioni Locali</w:t>
      </w:r>
      <w:r w:rsidRPr="00BB42D9">
        <w:rPr>
          <w:rFonts w:ascii="Arial" w:eastAsia="Arial" w:hAnsi="Arial" w:cs="Arial"/>
          <w:color w:val="000000"/>
          <w:sz w:val="20"/>
          <w:szCs w:val="20"/>
        </w:rPr>
        <w:t>;</w:t>
      </w:r>
    </w:p>
    <w:p w14:paraId="2D5F9FFC" w14:textId="5C4A6424" w:rsidR="00E478C0" w:rsidRPr="00BB42D9" w:rsidRDefault="00E478C0" w:rsidP="009C475F">
      <w:pPr>
        <w:pStyle w:val="Paragrafoelenco"/>
        <w:numPr>
          <w:ilvl w:val="0"/>
          <w:numId w:val="8"/>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B42D9">
        <w:rPr>
          <w:rFonts w:ascii="Arial" w:eastAsia="Arial" w:hAnsi="Arial" w:cs="Arial"/>
          <w:sz w:val="20"/>
          <w:szCs w:val="20"/>
        </w:rPr>
        <w:t>Enti o società controllate dagli Enti Nazionali di Previdenza e Assistenza</w:t>
      </w:r>
      <w:r w:rsidRPr="00BB42D9">
        <w:rPr>
          <w:rFonts w:ascii="Arial" w:eastAsia="Arial" w:hAnsi="Arial" w:cs="Arial"/>
          <w:color w:val="000000"/>
          <w:sz w:val="20"/>
          <w:szCs w:val="20"/>
        </w:rPr>
        <w:t>;</w:t>
      </w:r>
    </w:p>
    <w:p w14:paraId="48894423" w14:textId="28B07FF6" w:rsidR="00E478C0" w:rsidRPr="00BB42D9" w:rsidRDefault="00E478C0" w:rsidP="009C475F">
      <w:pPr>
        <w:pStyle w:val="Paragrafoelenco"/>
        <w:numPr>
          <w:ilvl w:val="0"/>
          <w:numId w:val="8"/>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B42D9">
        <w:rPr>
          <w:rFonts w:ascii="Arial" w:eastAsia="Arial" w:hAnsi="Arial" w:cs="Arial"/>
          <w:sz w:val="20"/>
          <w:szCs w:val="20"/>
        </w:rPr>
        <w:t>Enti, fondazioni o società partecipate per una percentuale complessiva del capitale non inferiore al 70 per cento, dalle Amministrazioni Pubbliche</w:t>
      </w:r>
      <w:r w:rsidRPr="00BB42D9">
        <w:rPr>
          <w:rFonts w:ascii="Arial" w:eastAsia="Arial" w:hAnsi="Arial" w:cs="Arial"/>
          <w:color w:val="000000"/>
          <w:sz w:val="20"/>
          <w:szCs w:val="20"/>
        </w:rPr>
        <w:t>.</w:t>
      </w:r>
    </w:p>
    <w:p w14:paraId="07CBCE36" w14:textId="77777777" w:rsidR="00BB42D9" w:rsidRDefault="00BB42D9"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r>
        <w:rPr>
          <w:rFonts w:ascii="Arial" w:eastAsia="Arial" w:hAnsi="Arial" w:cs="Arial"/>
          <w:color w:val="000000"/>
          <w:sz w:val="20"/>
          <w:szCs w:val="20"/>
        </w:rPr>
        <w:t>È</w:t>
      </w:r>
      <w:r w:rsidR="00E478C0" w:rsidRPr="00BB42D9">
        <w:rPr>
          <w:rFonts w:ascii="Arial" w:eastAsia="Arial" w:hAnsi="Arial" w:cs="Arial"/>
          <w:color w:val="000000"/>
          <w:sz w:val="20"/>
          <w:szCs w:val="20"/>
        </w:rPr>
        <w:t xml:space="preserve"> possibile effettuare la ricerca delle società presenti negli elenchi tramite codice fiscale o denominazione.</w:t>
      </w:r>
    </w:p>
    <w:p w14:paraId="5507D864" w14:textId="23209E21" w:rsidR="00E478C0" w:rsidRPr="00BB42D9" w:rsidRDefault="00E478C0"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r w:rsidRPr="00BB42D9">
        <w:rPr>
          <w:rFonts w:ascii="Arial" w:eastAsia="Arial" w:hAnsi="Arial" w:cs="Arial"/>
          <w:color w:val="000000"/>
          <w:sz w:val="20"/>
          <w:szCs w:val="20"/>
        </w:rPr>
        <w:t xml:space="preserve">Eventuali mancate o errate inclusioni negli elenchi </w:t>
      </w:r>
      <w:r w:rsidR="00BB42D9" w:rsidRPr="00BB42D9">
        <w:rPr>
          <w:rFonts w:ascii="Arial" w:eastAsia="Arial" w:hAnsi="Arial" w:cs="Arial"/>
          <w:color w:val="000000"/>
          <w:sz w:val="20"/>
          <w:szCs w:val="20"/>
        </w:rPr>
        <w:t>possono essere segnalate</w:t>
      </w:r>
      <w:r w:rsidRPr="00BB42D9">
        <w:rPr>
          <w:rFonts w:ascii="Arial" w:eastAsia="Arial" w:hAnsi="Arial" w:cs="Arial"/>
          <w:color w:val="000000"/>
          <w:sz w:val="20"/>
          <w:szCs w:val="20"/>
        </w:rPr>
        <w:t>, in conformità con quanto disposto dalla normativa di riferimento, tramite l’apposito</w:t>
      </w:r>
      <w:r w:rsidR="00694F1F">
        <w:rPr>
          <w:rFonts w:ascii="Arial" w:eastAsia="Arial" w:hAnsi="Arial" w:cs="Arial"/>
          <w:color w:val="000000"/>
          <w:sz w:val="20"/>
          <w:szCs w:val="20"/>
        </w:rPr>
        <w:t xml:space="preserve"> </w:t>
      </w:r>
      <w:r w:rsidRPr="00694F1F">
        <w:rPr>
          <w:rFonts w:ascii="Arial" w:eastAsia="Arial" w:hAnsi="Arial" w:cs="Arial"/>
          <w:b/>
          <w:bCs/>
          <w:sz w:val="20"/>
          <w:szCs w:val="20"/>
        </w:rPr>
        <w:t>modulo di richiesta</w:t>
      </w:r>
      <w:r w:rsidRPr="00BB42D9">
        <w:rPr>
          <w:rFonts w:ascii="Arial" w:eastAsia="Arial" w:hAnsi="Arial" w:cs="Arial"/>
          <w:color w:val="000000"/>
          <w:sz w:val="20"/>
          <w:szCs w:val="20"/>
        </w:rPr>
        <w:t>.</w:t>
      </w:r>
    </w:p>
    <w:p w14:paraId="43105DF8" w14:textId="77777777" w:rsidR="0093709F" w:rsidRPr="00BB42D9" w:rsidRDefault="0093709F"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p>
    <w:p w14:paraId="1F167CFE" w14:textId="77777777" w:rsidR="00C766F7" w:rsidRPr="00BB42D9" w:rsidRDefault="00C766F7" w:rsidP="00BB42D9">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p>
    <w:tbl>
      <w:tblPr>
        <w:tblStyle w:val="a4"/>
        <w:tblW w:w="10625" w:type="dxa"/>
        <w:tblInd w:w="0" w:type="dxa"/>
        <w:tblLayout w:type="fixed"/>
        <w:tblLook w:val="0000" w:firstRow="0" w:lastRow="0" w:firstColumn="0" w:lastColumn="0" w:noHBand="0" w:noVBand="0"/>
      </w:tblPr>
      <w:tblGrid>
        <w:gridCol w:w="3700"/>
        <w:gridCol w:w="1120"/>
        <w:gridCol w:w="5805"/>
      </w:tblGrid>
      <w:tr w:rsidR="00C766F7" w14:paraId="575DE2AE" w14:textId="77777777" w:rsidTr="00D91CF7">
        <w:trPr>
          <w:trHeight w:val="255"/>
        </w:trPr>
        <w:tc>
          <w:tcPr>
            <w:tcW w:w="10625" w:type="dxa"/>
            <w:gridSpan w:val="3"/>
            <w:tcBorders>
              <w:top w:val="nil"/>
              <w:left w:val="nil"/>
              <w:bottom w:val="nil"/>
              <w:right w:val="nil"/>
            </w:tcBorders>
          </w:tcPr>
          <w:p w14:paraId="08C70D82" w14:textId="77777777" w:rsidR="00C766F7"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C766F7" w14:paraId="497DA687" w14:textId="77777777" w:rsidTr="00D91CF7">
        <w:trPr>
          <w:trHeight w:val="255"/>
        </w:trPr>
        <w:tc>
          <w:tcPr>
            <w:tcW w:w="10625" w:type="dxa"/>
            <w:gridSpan w:val="3"/>
            <w:tcBorders>
              <w:top w:val="nil"/>
              <w:left w:val="nil"/>
              <w:bottom w:val="nil"/>
              <w:right w:val="nil"/>
            </w:tcBorders>
          </w:tcPr>
          <w:p w14:paraId="47CE1EBA"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Consorzi</w:t>
            </w:r>
          </w:p>
        </w:tc>
      </w:tr>
      <w:tr w:rsidR="00C766F7" w14:paraId="309F86EE" w14:textId="77777777" w:rsidTr="00D91CF7">
        <w:trPr>
          <w:trHeight w:val="255"/>
        </w:trPr>
        <w:tc>
          <w:tcPr>
            <w:tcW w:w="10625" w:type="dxa"/>
            <w:gridSpan w:val="3"/>
            <w:tcBorders>
              <w:top w:val="nil"/>
              <w:left w:val="nil"/>
              <w:bottom w:val="nil"/>
              <w:right w:val="nil"/>
            </w:tcBorders>
          </w:tcPr>
          <w:p w14:paraId="746A6487"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Condomini</w:t>
            </w:r>
          </w:p>
        </w:tc>
      </w:tr>
      <w:tr w:rsidR="00C766F7" w14:paraId="1A569E7A" w14:textId="77777777" w:rsidTr="00D91CF7">
        <w:trPr>
          <w:trHeight w:val="255"/>
        </w:trPr>
        <w:tc>
          <w:tcPr>
            <w:tcW w:w="10625" w:type="dxa"/>
            <w:gridSpan w:val="3"/>
            <w:tcBorders>
              <w:top w:val="nil"/>
              <w:left w:val="nil"/>
              <w:bottom w:val="nil"/>
              <w:right w:val="nil"/>
            </w:tcBorders>
          </w:tcPr>
          <w:p w14:paraId="730823E9"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 xml:space="preserve">Enti </w:t>
            </w:r>
            <w:proofErr w:type="spellStart"/>
            <w:r w:rsidRPr="00100FD3">
              <w:rPr>
                <w:rFonts w:ascii="Calibri" w:eastAsia="Calibri" w:hAnsi="Calibri" w:cs="Calibri"/>
                <w:color w:val="330033"/>
                <w:sz w:val="20"/>
                <w:szCs w:val="20"/>
                <w:highlight w:val="green"/>
              </w:rPr>
              <w:t>no</w:t>
            </w:r>
            <w:proofErr w:type="spellEnd"/>
            <w:r w:rsidRPr="00100FD3">
              <w:rPr>
                <w:rFonts w:ascii="Calibri" w:eastAsia="Calibri" w:hAnsi="Calibri" w:cs="Calibri"/>
                <w:color w:val="330033"/>
                <w:sz w:val="20"/>
                <w:szCs w:val="20"/>
                <w:highlight w:val="green"/>
              </w:rPr>
              <w:t xml:space="preserve"> profit</w:t>
            </w:r>
          </w:p>
        </w:tc>
      </w:tr>
      <w:tr w:rsidR="00C766F7" w14:paraId="14DD382D" w14:textId="77777777" w:rsidTr="00D91CF7">
        <w:trPr>
          <w:trHeight w:val="255"/>
        </w:trPr>
        <w:tc>
          <w:tcPr>
            <w:tcW w:w="10625" w:type="dxa"/>
            <w:gridSpan w:val="3"/>
            <w:tcBorders>
              <w:top w:val="nil"/>
              <w:left w:val="nil"/>
              <w:bottom w:val="nil"/>
              <w:right w:val="nil"/>
            </w:tcBorders>
          </w:tcPr>
          <w:p w14:paraId="080A7954"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Imprese</w:t>
            </w:r>
          </w:p>
        </w:tc>
      </w:tr>
      <w:tr w:rsidR="00C766F7" w14:paraId="5186E441" w14:textId="77777777" w:rsidTr="00D91CF7">
        <w:trPr>
          <w:trHeight w:val="255"/>
        </w:trPr>
        <w:tc>
          <w:tcPr>
            <w:tcW w:w="10625" w:type="dxa"/>
            <w:gridSpan w:val="3"/>
            <w:tcBorders>
              <w:top w:val="nil"/>
              <w:left w:val="nil"/>
              <w:bottom w:val="nil"/>
              <w:right w:val="nil"/>
            </w:tcBorders>
          </w:tcPr>
          <w:p w14:paraId="05C0D3B8"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Lavoratori autonomi</w:t>
            </w:r>
          </w:p>
        </w:tc>
      </w:tr>
      <w:tr w:rsidR="00C766F7" w14:paraId="00E05F7E" w14:textId="77777777" w:rsidTr="00D91CF7">
        <w:trPr>
          <w:trHeight w:val="255"/>
        </w:trPr>
        <w:tc>
          <w:tcPr>
            <w:tcW w:w="10625" w:type="dxa"/>
            <w:gridSpan w:val="3"/>
            <w:tcBorders>
              <w:top w:val="nil"/>
              <w:left w:val="nil"/>
              <w:bottom w:val="nil"/>
              <w:right w:val="nil"/>
            </w:tcBorders>
          </w:tcPr>
          <w:p w14:paraId="3EEF641C" w14:textId="77777777" w:rsidR="00C766F7" w:rsidRPr="006A72D7"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6A72D7">
              <w:rPr>
                <w:rFonts w:ascii="Calibri" w:eastAsia="Calibri" w:hAnsi="Calibri" w:cs="Calibri"/>
                <w:color w:val="330033"/>
                <w:sz w:val="20"/>
                <w:szCs w:val="20"/>
              </w:rPr>
              <w:t>Persone fisiche</w:t>
            </w:r>
          </w:p>
        </w:tc>
      </w:tr>
      <w:tr w:rsidR="00C766F7" w14:paraId="5A3240FF" w14:textId="77777777" w:rsidTr="00D91CF7">
        <w:trPr>
          <w:trHeight w:val="255"/>
        </w:trPr>
        <w:tc>
          <w:tcPr>
            <w:tcW w:w="10625" w:type="dxa"/>
            <w:gridSpan w:val="3"/>
            <w:tcBorders>
              <w:top w:val="nil"/>
              <w:left w:val="nil"/>
              <w:bottom w:val="nil"/>
              <w:right w:val="nil"/>
            </w:tcBorders>
          </w:tcPr>
          <w:p w14:paraId="3ABC05AB"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capitali</w:t>
            </w:r>
          </w:p>
        </w:tc>
      </w:tr>
      <w:tr w:rsidR="00C766F7" w14:paraId="3B55CEC7" w14:textId="77777777" w:rsidTr="00D91CF7">
        <w:trPr>
          <w:trHeight w:val="255"/>
        </w:trPr>
        <w:tc>
          <w:tcPr>
            <w:tcW w:w="10625" w:type="dxa"/>
            <w:gridSpan w:val="3"/>
            <w:tcBorders>
              <w:top w:val="nil"/>
              <w:left w:val="nil"/>
              <w:bottom w:val="nil"/>
              <w:right w:val="nil"/>
            </w:tcBorders>
          </w:tcPr>
          <w:p w14:paraId="54F44DB4" w14:textId="77777777" w:rsidR="00C766F7" w:rsidRPr="00100FD3" w:rsidRDefault="00C766F7" w:rsidP="00D91CF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100FD3">
              <w:rPr>
                <w:rFonts w:ascii="Calibri" w:eastAsia="Calibri" w:hAnsi="Calibri" w:cs="Calibri"/>
                <w:color w:val="330033"/>
                <w:sz w:val="20"/>
                <w:szCs w:val="20"/>
                <w:highlight w:val="green"/>
              </w:rPr>
              <w:t>Società di persone</w:t>
            </w:r>
          </w:p>
        </w:tc>
      </w:tr>
      <w:tr w:rsidR="00C766F7" w14:paraId="24C8626A" w14:textId="77777777" w:rsidTr="00D91CF7">
        <w:trPr>
          <w:trHeight w:val="315"/>
        </w:trPr>
        <w:tc>
          <w:tcPr>
            <w:tcW w:w="3700" w:type="dxa"/>
            <w:tcBorders>
              <w:top w:val="single" w:sz="4" w:space="0" w:color="000000"/>
              <w:left w:val="single" w:sz="4" w:space="0" w:color="000000"/>
              <w:bottom w:val="single" w:sz="12" w:space="0" w:color="000000"/>
              <w:right w:val="single" w:sz="4" w:space="0" w:color="000000"/>
            </w:tcBorders>
          </w:tcPr>
          <w:p w14:paraId="65EA80B5" w14:textId="77777777" w:rsidR="00C766F7" w:rsidRDefault="00C766F7" w:rsidP="00D91CF7">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7058867A" w14:textId="77777777" w:rsidR="00C766F7" w:rsidRDefault="00C766F7" w:rsidP="00D91CF7">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0F2BF7A6" w14:textId="77777777" w:rsidR="00C766F7" w:rsidRDefault="00C766F7" w:rsidP="00D91CF7">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36743E72" w14:textId="77777777" w:rsidR="00C766F7" w:rsidRDefault="00C766F7" w:rsidP="00694F1F">
      <w:pPr>
        <w:pBdr>
          <w:top w:val="nil"/>
          <w:left w:val="nil"/>
          <w:bottom w:val="nil"/>
          <w:right w:val="nil"/>
          <w:between w:val="nil"/>
        </w:pBdr>
        <w:tabs>
          <w:tab w:val="left" w:pos="2160"/>
          <w:tab w:val="left" w:pos="3168"/>
          <w:tab w:val="left" w:pos="4838"/>
        </w:tabs>
        <w:spacing w:line="300" w:lineRule="atLeast"/>
        <w:ind w:leftChars="0" w:left="2" w:hanging="2"/>
        <w:jc w:val="both"/>
        <w:rPr>
          <w:rFonts w:ascii="Arial" w:eastAsia="Arial" w:hAnsi="Arial" w:cs="Arial"/>
          <w:color w:val="000000"/>
          <w:sz w:val="20"/>
          <w:szCs w:val="20"/>
        </w:rPr>
      </w:pPr>
    </w:p>
    <w:p w14:paraId="7C0D69F7" w14:textId="77777777" w:rsidR="00694F1F" w:rsidRPr="00953361" w:rsidRDefault="00694F1F" w:rsidP="00694F1F">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953361">
        <w:rPr>
          <w:rFonts w:ascii="Calibri" w:hAnsi="Calibri" w:cs="Arial"/>
          <w:color w:val="0F0F0F"/>
          <w:sz w:val="20"/>
          <w:szCs w:val="20"/>
        </w:rPr>
        <w:t>ACCERTAMENTO E RISCOSSIONE</w:t>
      </w:r>
    </w:p>
    <w:p w14:paraId="5142833C" w14:textId="6AB8CA0C" w:rsidR="006A72D7" w:rsidRPr="00694F1F" w:rsidRDefault="006A72D7" w:rsidP="00694F1F">
      <w:pPr>
        <w:pStyle w:val="NormaleWeb"/>
        <w:spacing w:before="0" w:beforeAutospacing="0" w:after="0" w:afterAutospacing="0" w:line="300" w:lineRule="atLeast"/>
        <w:ind w:left="0" w:hanging="2"/>
        <w:rPr>
          <w:rFonts w:ascii="Arial" w:eastAsia="Arial" w:hAnsi="Arial" w:cs="Arial"/>
          <w:b/>
          <w:bCs/>
          <w:color w:val="000000"/>
          <w:sz w:val="20"/>
          <w:szCs w:val="20"/>
        </w:rPr>
      </w:pPr>
      <w:r w:rsidRPr="00CF2457">
        <w:rPr>
          <w:rFonts w:ascii="Arial" w:eastAsia="Arial" w:hAnsi="Arial" w:cs="Arial"/>
          <w:b/>
          <w:bCs/>
          <w:color w:val="000000"/>
          <w:sz w:val="20"/>
          <w:szCs w:val="20"/>
        </w:rPr>
        <w:t xml:space="preserve">CPB: chiarimenti dell’Agenzia </w:t>
      </w:r>
      <w:r w:rsidR="00694F1F" w:rsidRPr="00CF2457">
        <w:rPr>
          <w:rFonts w:ascii="Arial" w:eastAsia="Arial" w:hAnsi="Arial" w:cs="Arial"/>
          <w:b/>
          <w:bCs/>
          <w:color w:val="000000"/>
          <w:sz w:val="20"/>
          <w:szCs w:val="20"/>
        </w:rPr>
        <w:t xml:space="preserve">delle </w:t>
      </w:r>
      <w:r w:rsidRPr="00CF2457">
        <w:rPr>
          <w:rFonts w:ascii="Arial" w:eastAsia="Arial" w:hAnsi="Arial" w:cs="Arial"/>
          <w:b/>
          <w:bCs/>
          <w:color w:val="000000"/>
          <w:sz w:val="20"/>
          <w:szCs w:val="20"/>
        </w:rPr>
        <w:t>Entrate sull’esonero dal visto di conformità I</w:t>
      </w:r>
      <w:r w:rsidR="00694F1F" w:rsidRPr="00CF2457">
        <w:rPr>
          <w:rFonts w:ascii="Arial" w:eastAsia="Arial" w:hAnsi="Arial" w:cs="Arial"/>
          <w:b/>
          <w:bCs/>
          <w:color w:val="000000"/>
          <w:sz w:val="20"/>
          <w:szCs w:val="20"/>
        </w:rPr>
        <w:t>VA</w:t>
      </w:r>
    </w:p>
    <w:p w14:paraId="6818DA5B" w14:textId="29005005" w:rsidR="00694F1F" w:rsidRPr="00694F1F" w:rsidRDefault="00694F1F"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i/>
          <w:iCs/>
          <w:color w:val="000000"/>
          <w:sz w:val="20"/>
          <w:szCs w:val="20"/>
        </w:rPr>
      </w:pPr>
      <w:r w:rsidRPr="00694F1F">
        <w:rPr>
          <w:rFonts w:ascii="Arial" w:hAnsi="Arial" w:cs="Arial"/>
          <w:i/>
          <w:iCs/>
          <w:color w:val="000000"/>
          <w:sz w:val="20"/>
          <w:szCs w:val="20"/>
        </w:rPr>
        <w:t xml:space="preserve">Agenzia delle Entrate, FAQ Concordato </w:t>
      </w:r>
      <w:r>
        <w:rPr>
          <w:rFonts w:ascii="Arial" w:hAnsi="Arial" w:cs="Arial"/>
          <w:i/>
          <w:iCs/>
          <w:color w:val="000000"/>
          <w:sz w:val="20"/>
          <w:szCs w:val="20"/>
        </w:rPr>
        <w:t>Pr</w:t>
      </w:r>
      <w:r w:rsidRPr="00694F1F">
        <w:rPr>
          <w:rFonts w:ascii="Arial" w:hAnsi="Arial" w:cs="Arial"/>
          <w:i/>
          <w:iCs/>
          <w:color w:val="000000"/>
          <w:sz w:val="20"/>
          <w:szCs w:val="20"/>
        </w:rPr>
        <w:t xml:space="preserve">eventivo </w:t>
      </w:r>
      <w:r>
        <w:rPr>
          <w:rFonts w:ascii="Arial" w:hAnsi="Arial" w:cs="Arial"/>
          <w:i/>
          <w:iCs/>
          <w:color w:val="000000"/>
          <w:sz w:val="20"/>
          <w:szCs w:val="20"/>
        </w:rPr>
        <w:t>B</w:t>
      </w:r>
      <w:r w:rsidRPr="00694F1F">
        <w:rPr>
          <w:rFonts w:ascii="Arial" w:hAnsi="Arial" w:cs="Arial"/>
          <w:i/>
          <w:iCs/>
          <w:color w:val="000000"/>
          <w:sz w:val="20"/>
          <w:szCs w:val="20"/>
        </w:rPr>
        <w:t>iennale</w:t>
      </w:r>
      <w:r>
        <w:rPr>
          <w:rFonts w:ascii="Arial" w:hAnsi="Arial" w:cs="Arial"/>
          <w:i/>
          <w:iCs/>
          <w:color w:val="000000"/>
          <w:sz w:val="20"/>
          <w:szCs w:val="20"/>
        </w:rPr>
        <w:t xml:space="preserve"> (CPB)</w:t>
      </w:r>
    </w:p>
    <w:p w14:paraId="0616B87A" w14:textId="0C77B9A0" w:rsidR="006A72D7" w:rsidRPr="00694F1F" w:rsidRDefault="006A72D7"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color w:val="000000"/>
          <w:sz w:val="20"/>
          <w:szCs w:val="20"/>
        </w:rPr>
      </w:pPr>
      <w:r w:rsidRPr="00694F1F">
        <w:rPr>
          <w:rFonts w:ascii="Arial" w:hAnsi="Arial" w:cs="Arial"/>
          <w:color w:val="000000"/>
          <w:sz w:val="20"/>
          <w:szCs w:val="20"/>
        </w:rPr>
        <w:t>Da quando decorre il beneficio dell’esonero dal visto di conformità per la compensazione e il rimborso dei crediti IVA infrannuali per i soggetti che aderiscono al concordato preventivo biennale (CPB)?</w:t>
      </w:r>
    </w:p>
    <w:p w14:paraId="30AFE734" w14:textId="2DC8113B" w:rsidR="006A72D7" w:rsidRPr="00694F1F" w:rsidRDefault="006A72D7"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color w:val="000000"/>
          <w:sz w:val="20"/>
          <w:szCs w:val="20"/>
        </w:rPr>
      </w:pPr>
      <w:r w:rsidRPr="00694F1F">
        <w:rPr>
          <w:rFonts w:ascii="Arial" w:hAnsi="Arial" w:cs="Arial"/>
          <w:color w:val="000000"/>
          <w:sz w:val="20"/>
          <w:szCs w:val="20"/>
        </w:rPr>
        <w:t xml:space="preserve">A questa domanda risponde l’Agenzia </w:t>
      </w:r>
      <w:r w:rsidR="00CF2457">
        <w:rPr>
          <w:rFonts w:ascii="Arial" w:hAnsi="Arial" w:cs="Arial"/>
          <w:color w:val="000000"/>
          <w:sz w:val="20"/>
          <w:szCs w:val="20"/>
        </w:rPr>
        <w:t xml:space="preserve">delle </w:t>
      </w:r>
      <w:r w:rsidRPr="00694F1F">
        <w:rPr>
          <w:rFonts w:ascii="Arial" w:hAnsi="Arial" w:cs="Arial"/>
          <w:color w:val="000000"/>
          <w:sz w:val="20"/>
          <w:szCs w:val="20"/>
        </w:rPr>
        <w:t xml:space="preserve">Entrate con una nuova FAQ pubblicata sul proprio sito internet, fornendo un importante chiarimento in materia di </w:t>
      </w:r>
      <w:r w:rsidR="00CF2457">
        <w:rPr>
          <w:rFonts w:ascii="Arial" w:hAnsi="Arial" w:cs="Arial"/>
          <w:color w:val="000000"/>
          <w:sz w:val="20"/>
          <w:szCs w:val="20"/>
        </w:rPr>
        <w:t>c</w:t>
      </w:r>
      <w:r w:rsidRPr="00694F1F">
        <w:rPr>
          <w:rFonts w:ascii="Arial" w:hAnsi="Arial" w:cs="Arial"/>
          <w:color w:val="000000"/>
          <w:sz w:val="20"/>
          <w:szCs w:val="20"/>
        </w:rPr>
        <w:t>oncordato preventivo biennale.</w:t>
      </w:r>
    </w:p>
    <w:p w14:paraId="0F10E0E2" w14:textId="04534EF5" w:rsidR="006A72D7" w:rsidRPr="00694F1F" w:rsidRDefault="006A72D7"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color w:val="000000"/>
          <w:sz w:val="20"/>
          <w:szCs w:val="20"/>
        </w:rPr>
      </w:pPr>
      <w:r w:rsidRPr="00694F1F">
        <w:rPr>
          <w:rFonts w:ascii="Arial" w:hAnsi="Arial" w:cs="Arial"/>
          <w:color w:val="000000"/>
          <w:sz w:val="20"/>
          <w:szCs w:val="20"/>
        </w:rPr>
        <w:lastRenderedPageBreak/>
        <w:t>L’Amministrazione finanziaria precisa che, ai sensi dell’art</w:t>
      </w:r>
      <w:r w:rsidR="00CF2457">
        <w:rPr>
          <w:rFonts w:ascii="Arial" w:hAnsi="Arial" w:cs="Arial"/>
          <w:color w:val="000000"/>
          <w:sz w:val="20"/>
          <w:szCs w:val="20"/>
        </w:rPr>
        <w:t>.</w:t>
      </w:r>
      <w:r w:rsidRPr="00694F1F">
        <w:rPr>
          <w:rFonts w:ascii="Arial" w:hAnsi="Arial" w:cs="Arial"/>
          <w:color w:val="000000"/>
          <w:sz w:val="20"/>
          <w:szCs w:val="20"/>
        </w:rPr>
        <w:t xml:space="preserve"> 19, comma 3, del </w:t>
      </w:r>
      <w:proofErr w:type="spellStart"/>
      <w:r w:rsidR="00CF2457">
        <w:rPr>
          <w:rFonts w:ascii="Arial" w:hAnsi="Arial" w:cs="Arial"/>
          <w:color w:val="000000"/>
          <w:sz w:val="20"/>
          <w:szCs w:val="20"/>
        </w:rPr>
        <w:t>D.Lgs.</w:t>
      </w:r>
      <w:proofErr w:type="spellEnd"/>
      <w:r w:rsidRPr="00694F1F">
        <w:rPr>
          <w:rFonts w:ascii="Arial" w:hAnsi="Arial" w:cs="Arial"/>
          <w:color w:val="000000"/>
          <w:sz w:val="20"/>
          <w:szCs w:val="20"/>
        </w:rPr>
        <w:t xml:space="preserve"> n. 13/2024 (decreto CPB), ai contribuenti che aderiscono alla proposta di concordato formulata dall’Agenzia sono riconosciuti i benefici previsti dall’art</w:t>
      </w:r>
      <w:r w:rsidR="00AE6829">
        <w:rPr>
          <w:rFonts w:ascii="Arial" w:hAnsi="Arial" w:cs="Arial"/>
          <w:color w:val="000000"/>
          <w:sz w:val="20"/>
          <w:szCs w:val="20"/>
        </w:rPr>
        <w:t>.</w:t>
      </w:r>
      <w:r w:rsidRPr="00694F1F">
        <w:rPr>
          <w:rFonts w:ascii="Arial" w:hAnsi="Arial" w:cs="Arial"/>
          <w:color w:val="000000"/>
          <w:sz w:val="20"/>
          <w:szCs w:val="20"/>
        </w:rPr>
        <w:t xml:space="preserve"> 9-</w:t>
      </w:r>
      <w:r w:rsidRPr="00694F1F">
        <w:rPr>
          <w:rFonts w:ascii="Arial" w:hAnsi="Arial" w:cs="Arial"/>
          <w:i/>
          <w:iCs/>
          <w:color w:val="000000"/>
          <w:sz w:val="20"/>
          <w:szCs w:val="20"/>
        </w:rPr>
        <w:t>bis</w:t>
      </w:r>
      <w:r w:rsidRPr="00694F1F">
        <w:rPr>
          <w:rFonts w:ascii="Arial" w:hAnsi="Arial" w:cs="Arial"/>
          <w:color w:val="000000"/>
          <w:sz w:val="20"/>
          <w:szCs w:val="20"/>
        </w:rPr>
        <w:t xml:space="preserve">, comma 11, del </w:t>
      </w:r>
      <w:r w:rsidR="00AE6829">
        <w:rPr>
          <w:rFonts w:ascii="Arial" w:hAnsi="Arial" w:cs="Arial"/>
          <w:color w:val="000000"/>
          <w:sz w:val="20"/>
          <w:szCs w:val="20"/>
        </w:rPr>
        <w:t>D.L.</w:t>
      </w:r>
      <w:r w:rsidRPr="00694F1F">
        <w:rPr>
          <w:rFonts w:ascii="Arial" w:hAnsi="Arial" w:cs="Arial"/>
          <w:color w:val="000000"/>
          <w:sz w:val="20"/>
          <w:szCs w:val="20"/>
        </w:rPr>
        <w:t xml:space="preserve"> n. 50/2017, compresi quelli relativi all’IVA.</w:t>
      </w:r>
    </w:p>
    <w:p w14:paraId="498A3387" w14:textId="68CA4BFE" w:rsidR="006A72D7" w:rsidRPr="00694F1F" w:rsidRDefault="006A72D7"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color w:val="000000"/>
          <w:sz w:val="20"/>
          <w:szCs w:val="20"/>
        </w:rPr>
      </w:pPr>
      <w:r w:rsidRPr="00694F1F">
        <w:rPr>
          <w:rFonts w:ascii="Arial" w:hAnsi="Arial" w:cs="Arial"/>
          <w:color w:val="000000"/>
          <w:sz w:val="20"/>
          <w:szCs w:val="20"/>
        </w:rPr>
        <w:t>In particolare, il beneficio dell’esonero dall’apposizione del visto di conformità per la compensazione dei crediti IVA infrannuali, fino a 70.000 euro annui, e quello dell’esonero dal visto o dalla garanzia per i rimborsi IVA infrannuali entro lo stesso limite,</w:t>
      </w:r>
      <w:r w:rsidR="00AE6829">
        <w:rPr>
          <w:rFonts w:ascii="Arial" w:hAnsi="Arial" w:cs="Arial"/>
          <w:color w:val="000000"/>
          <w:sz w:val="20"/>
          <w:szCs w:val="20"/>
        </w:rPr>
        <w:t xml:space="preserve"> </w:t>
      </w:r>
      <w:r w:rsidRPr="00AE6829">
        <w:rPr>
          <w:rFonts w:ascii="Arial" w:hAnsi="Arial" w:cs="Arial"/>
          <w:color w:val="000000"/>
          <w:sz w:val="20"/>
          <w:szCs w:val="20"/>
        </w:rPr>
        <w:t xml:space="preserve">si applicano ai </w:t>
      </w:r>
      <w:r w:rsidRPr="00694F1F">
        <w:rPr>
          <w:rFonts w:ascii="Arial" w:hAnsi="Arial" w:cs="Arial"/>
          <w:b/>
          <w:bCs/>
          <w:color w:val="000000"/>
          <w:sz w:val="20"/>
          <w:szCs w:val="20"/>
        </w:rPr>
        <w:t>crediti maturati nel biennio successivo all’anno di adesione al concordato</w:t>
      </w:r>
      <w:r w:rsidRPr="00694F1F">
        <w:rPr>
          <w:rFonts w:ascii="Arial" w:hAnsi="Arial" w:cs="Arial"/>
          <w:color w:val="000000"/>
          <w:sz w:val="20"/>
          <w:szCs w:val="20"/>
        </w:rPr>
        <w:t>.</w:t>
      </w:r>
    </w:p>
    <w:p w14:paraId="67458949" w14:textId="51BFE392" w:rsidR="006A72D7" w:rsidRPr="00694F1F" w:rsidRDefault="006A72D7"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hAnsi="Arial" w:cs="Arial"/>
          <w:color w:val="000000"/>
          <w:sz w:val="20"/>
          <w:szCs w:val="20"/>
        </w:rPr>
      </w:pPr>
      <w:r w:rsidRPr="00694F1F">
        <w:rPr>
          <w:rFonts w:ascii="Arial" w:hAnsi="Arial" w:cs="Arial"/>
          <w:color w:val="000000"/>
          <w:sz w:val="20"/>
          <w:szCs w:val="20"/>
        </w:rPr>
        <w:t>Quindi, ad esempio, un contribuente che aderisce nel 2024 al CPB 2024-2025 potrà usufruire del beneficio per il biennio 2025-2026.</w:t>
      </w:r>
    </w:p>
    <w:p w14:paraId="6CE727B3" w14:textId="77777777" w:rsidR="007F1556" w:rsidRPr="00694F1F" w:rsidRDefault="007F1556"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65F1C2F7" w14:textId="77777777" w:rsidR="0093709F" w:rsidRPr="00694F1F" w:rsidRDefault="0093709F" w:rsidP="00694F1F">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tbl>
      <w:tblPr>
        <w:tblStyle w:val="a5"/>
        <w:tblW w:w="10525" w:type="dxa"/>
        <w:tblInd w:w="0" w:type="dxa"/>
        <w:tblLayout w:type="fixed"/>
        <w:tblLook w:val="0000" w:firstRow="0" w:lastRow="0" w:firstColumn="0" w:lastColumn="0" w:noHBand="0" w:noVBand="0"/>
      </w:tblPr>
      <w:tblGrid>
        <w:gridCol w:w="3760"/>
        <w:gridCol w:w="6765"/>
      </w:tblGrid>
      <w:tr w:rsidR="0093709F" w14:paraId="2BB6E412" w14:textId="77777777">
        <w:trPr>
          <w:trHeight w:val="255"/>
        </w:trPr>
        <w:tc>
          <w:tcPr>
            <w:tcW w:w="10525" w:type="dxa"/>
            <w:gridSpan w:val="2"/>
            <w:tcBorders>
              <w:top w:val="nil"/>
              <w:left w:val="nil"/>
              <w:bottom w:val="nil"/>
              <w:right w:val="nil"/>
            </w:tcBorders>
          </w:tcPr>
          <w:p w14:paraId="06D16FB3"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93709F" w14:paraId="3000E2BE" w14:textId="77777777">
        <w:trPr>
          <w:trHeight w:val="255"/>
        </w:trPr>
        <w:tc>
          <w:tcPr>
            <w:tcW w:w="10525" w:type="dxa"/>
            <w:gridSpan w:val="2"/>
            <w:tcBorders>
              <w:top w:val="nil"/>
              <w:left w:val="nil"/>
              <w:bottom w:val="nil"/>
              <w:right w:val="nil"/>
            </w:tcBorders>
          </w:tcPr>
          <w:p w14:paraId="2258494D"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93709F" w14:paraId="1155670C" w14:textId="77777777">
        <w:trPr>
          <w:trHeight w:val="255"/>
        </w:trPr>
        <w:tc>
          <w:tcPr>
            <w:tcW w:w="10525" w:type="dxa"/>
            <w:gridSpan w:val="2"/>
            <w:tcBorders>
              <w:top w:val="nil"/>
              <w:left w:val="nil"/>
              <w:bottom w:val="nil"/>
              <w:right w:val="nil"/>
            </w:tcBorders>
          </w:tcPr>
          <w:p w14:paraId="2D076FB6"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Condomini</w:t>
            </w:r>
          </w:p>
        </w:tc>
      </w:tr>
      <w:tr w:rsidR="0093709F" w14:paraId="17D9EBA0" w14:textId="77777777">
        <w:trPr>
          <w:trHeight w:val="255"/>
        </w:trPr>
        <w:tc>
          <w:tcPr>
            <w:tcW w:w="10525" w:type="dxa"/>
            <w:gridSpan w:val="2"/>
            <w:tcBorders>
              <w:top w:val="nil"/>
              <w:left w:val="nil"/>
              <w:bottom w:val="nil"/>
              <w:right w:val="nil"/>
            </w:tcBorders>
          </w:tcPr>
          <w:p w14:paraId="145EE73E"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93709F" w14:paraId="5B91F80C" w14:textId="77777777">
        <w:trPr>
          <w:trHeight w:val="255"/>
        </w:trPr>
        <w:tc>
          <w:tcPr>
            <w:tcW w:w="10525" w:type="dxa"/>
            <w:gridSpan w:val="2"/>
            <w:tcBorders>
              <w:top w:val="nil"/>
              <w:left w:val="nil"/>
              <w:bottom w:val="nil"/>
              <w:right w:val="nil"/>
            </w:tcBorders>
          </w:tcPr>
          <w:p w14:paraId="1E311226"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93709F" w14:paraId="4DF7F99D" w14:textId="77777777">
        <w:trPr>
          <w:trHeight w:val="255"/>
        </w:trPr>
        <w:tc>
          <w:tcPr>
            <w:tcW w:w="10525" w:type="dxa"/>
            <w:gridSpan w:val="2"/>
            <w:tcBorders>
              <w:top w:val="nil"/>
              <w:left w:val="nil"/>
              <w:bottom w:val="nil"/>
              <w:right w:val="nil"/>
            </w:tcBorders>
          </w:tcPr>
          <w:p w14:paraId="09E5BFB3"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93709F" w14:paraId="6E410EA6" w14:textId="77777777">
        <w:trPr>
          <w:trHeight w:val="255"/>
        </w:trPr>
        <w:tc>
          <w:tcPr>
            <w:tcW w:w="10525" w:type="dxa"/>
            <w:gridSpan w:val="2"/>
            <w:tcBorders>
              <w:top w:val="nil"/>
              <w:left w:val="nil"/>
              <w:bottom w:val="nil"/>
              <w:right w:val="nil"/>
            </w:tcBorders>
          </w:tcPr>
          <w:p w14:paraId="3D2FCFBB"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rPr>
              <w:t>Persone fisiche</w:t>
            </w:r>
          </w:p>
        </w:tc>
      </w:tr>
      <w:tr w:rsidR="0093709F" w14:paraId="2061B86D" w14:textId="77777777">
        <w:trPr>
          <w:trHeight w:val="255"/>
        </w:trPr>
        <w:tc>
          <w:tcPr>
            <w:tcW w:w="10525" w:type="dxa"/>
            <w:gridSpan w:val="2"/>
            <w:tcBorders>
              <w:top w:val="nil"/>
              <w:left w:val="nil"/>
              <w:bottom w:val="nil"/>
              <w:right w:val="nil"/>
            </w:tcBorders>
          </w:tcPr>
          <w:p w14:paraId="50DBEEB7"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93709F" w14:paraId="1F7A70F2" w14:textId="77777777">
        <w:trPr>
          <w:trHeight w:val="255"/>
        </w:trPr>
        <w:tc>
          <w:tcPr>
            <w:tcW w:w="10525" w:type="dxa"/>
            <w:gridSpan w:val="2"/>
            <w:tcBorders>
              <w:top w:val="nil"/>
              <w:left w:val="nil"/>
              <w:bottom w:val="nil"/>
              <w:right w:val="nil"/>
            </w:tcBorders>
          </w:tcPr>
          <w:p w14:paraId="5FECEE2F"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Società di persone</w:t>
            </w:r>
          </w:p>
        </w:tc>
      </w:tr>
      <w:tr w:rsidR="0093709F" w14:paraId="3B19EDC9" w14:textId="77777777">
        <w:trPr>
          <w:trHeight w:val="255"/>
        </w:trPr>
        <w:tc>
          <w:tcPr>
            <w:tcW w:w="3760" w:type="dxa"/>
            <w:tcBorders>
              <w:top w:val="single" w:sz="4" w:space="0" w:color="000000"/>
              <w:left w:val="single" w:sz="4" w:space="0" w:color="000000"/>
              <w:bottom w:val="single" w:sz="4" w:space="0" w:color="000000"/>
              <w:right w:val="single" w:sz="4" w:space="0" w:color="000000"/>
            </w:tcBorders>
          </w:tcPr>
          <w:p w14:paraId="374BAEA9" w14:textId="77777777" w:rsidR="0093709F" w:rsidRDefault="0093709F">
            <w:pPr>
              <w:pBdr>
                <w:top w:val="nil"/>
                <w:left w:val="nil"/>
                <w:bottom w:val="nil"/>
                <w:right w:val="nil"/>
                <w:between w:val="nil"/>
              </w:pBdr>
              <w:spacing w:line="240" w:lineRule="auto"/>
              <w:ind w:left="0" w:hanging="2"/>
              <w:rPr>
                <w:rFonts w:ascii="Calibri" w:eastAsia="Calibri" w:hAnsi="Calibri" w:cs="Calibri"/>
                <w:color w:val="330033"/>
                <w:sz w:val="20"/>
                <w:szCs w:val="20"/>
              </w:rPr>
            </w:pPr>
          </w:p>
        </w:tc>
        <w:tc>
          <w:tcPr>
            <w:tcW w:w="6765" w:type="dxa"/>
            <w:tcBorders>
              <w:top w:val="single" w:sz="4" w:space="0" w:color="000000"/>
              <w:left w:val="nil"/>
              <w:bottom w:val="single" w:sz="4" w:space="0" w:color="000000"/>
              <w:right w:val="single" w:sz="4" w:space="0" w:color="000000"/>
            </w:tcBorders>
          </w:tcPr>
          <w:p w14:paraId="6D784C74" w14:textId="77777777" w:rsidR="0093709F" w:rsidRDefault="0093709F">
            <w:pPr>
              <w:pBdr>
                <w:top w:val="nil"/>
                <w:left w:val="nil"/>
                <w:bottom w:val="nil"/>
                <w:right w:val="nil"/>
                <w:between w:val="nil"/>
              </w:pBdr>
              <w:spacing w:line="240" w:lineRule="auto"/>
              <w:ind w:left="0" w:hanging="2"/>
              <w:rPr>
                <w:rFonts w:ascii="Calibri" w:eastAsia="Calibri" w:hAnsi="Calibri" w:cs="Calibri"/>
                <w:color w:val="330033"/>
                <w:sz w:val="20"/>
                <w:szCs w:val="20"/>
              </w:rPr>
            </w:pPr>
          </w:p>
        </w:tc>
      </w:tr>
    </w:tbl>
    <w:p w14:paraId="6CC40438" w14:textId="77777777" w:rsidR="0093709F" w:rsidRDefault="0093709F"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371A0CBB" w14:textId="7F2BF148" w:rsidR="00AE6829" w:rsidRPr="00AE6829" w:rsidRDefault="00AE6829" w:rsidP="00AE6829">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AE6829">
        <w:rPr>
          <w:rFonts w:ascii="Calibri" w:hAnsi="Calibri" w:cs="Arial"/>
          <w:color w:val="0F0F0F"/>
          <w:sz w:val="20"/>
          <w:szCs w:val="20"/>
        </w:rPr>
        <w:t>IMPOSTE INDIRETTE</w:t>
      </w:r>
    </w:p>
    <w:p w14:paraId="4E10EA18" w14:textId="2563EAEE" w:rsidR="006A72D7" w:rsidRPr="00AE6829" w:rsidRDefault="006A72D7"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FC4A76">
        <w:rPr>
          <w:rFonts w:ascii="Arial" w:eastAsia="Arial" w:hAnsi="Arial" w:cs="Arial"/>
          <w:b/>
          <w:bCs/>
          <w:color w:val="000000"/>
          <w:sz w:val="20"/>
          <w:szCs w:val="20"/>
        </w:rPr>
        <w:t>Aggiornate le regole sul contrassegno telematico sostitutivo della marca da bollo</w:t>
      </w:r>
    </w:p>
    <w:p w14:paraId="53F34709" w14:textId="7E0441EE" w:rsidR="00AE6829" w:rsidRPr="00AE6829" w:rsidRDefault="00AE6829"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AE6829">
        <w:rPr>
          <w:rFonts w:ascii="Arial" w:eastAsia="Arial" w:hAnsi="Arial" w:cs="Arial"/>
          <w:i/>
          <w:iCs/>
          <w:color w:val="000000"/>
          <w:sz w:val="20"/>
          <w:szCs w:val="20"/>
        </w:rPr>
        <w:t>Agenzia delle Entrate, Provvedimento 20 ottobre 2025, n. 390267</w:t>
      </w:r>
    </w:p>
    <w:p w14:paraId="23A193CF" w14:textId="198DB313" w:rsidR="006A72D7" w:rsidRPr="00AE6829" w:rsidRDefault="006A72D7"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E6829">
        <w:rPr>
          <w:rFonts w:ascii="Arial" w:eastAsia="Arial" w:hAnsi="Arial" w:cs="Arial"/>
          <w:color w:val="000000"/>
          <w:sz w:val="20"/>
          <w:szCs w:val="20"/>
        </w:rPr>
        <w:t>Ai sensi dell’art. 3, comma 1, lett</w:t>
      </w:r>
      <w:r w:rsidR="00FC4A76">
        <w:rPr>
          <w:rFonts w:ascii="Arial" w:eastAsia="Arial" w:hAnsi="Arial" w:cs="Arial"/>
          <w:color w:val="000000"/>
          <w:sz w:val="20"/>
          <w:szCs w:val="20"/>
        </w:rPr>
        <w:t>.</w:t>
      </w:r>
      <w:r w:rsidRPr="00AE6829">
        <w:rPr>
          <w:rFonts w:ascii="Arial" w:eastAsia="Arial" w:hAnsi="Arial" w:cs="Arial"/>
          <w:color w:val="000000"/>
          <w:sz w:val="20"/>
          <w:szCs w:val="20"/>
        </w:rPr>
        <w:t xml:space="preserve"> a)</w:t>
      </w:r>
      <w:r w:rsidR="00FC4A76">
        <w:rPr>
          <w:rFonts w:ascii="Arial" w:eastAsia="Arial" w:hAnsi="Arial" w:cs="Arial"/>
          <w:color w:val="000000"/>
          <w:sz w:val="20"/>
          <w:szCs w:val="20"/>
        </w:rPr>
        <w:t>,</w:t>
      </w:r>
      <w:r w:rsidRPr="00AE6829">
        <w:rPr>
          <w:rFonts w:ascii="Arial" w:eastAsia="Arial" w:hAnsi="Arial" w:cs="Arial"/>
          <w:color w:val="000000"/>
          <w:sz w:val="20"/>
          <w:szCs w:val="20"/>
        </w:rPr>
        <w:t xml:space="preserve"> del D.P.R. n. 642/1972</w:t>
      </w:r>
      <w:r w:rsidR="00FC4A76">
        <w:rPr>
          <w:rFonts w:ascii="Arial" w:eastAsia="Arial" w:hAnsi="Arial" w:cs="Arial"/>
          <w:color w:val="000000"/>
          <w:sz w:val="20"/>
          <w:szCs w:val="20"/>
        </w:rPr>
        <w:t>,</w:t>
      </w:r>
      <w:r w:rsidRPr="00AE6829">
        <w:rPr>
          <w:rFonts w:ascii="Arial" w:eastAsia="Arial" w:hAnsi="Arial" w:cs="Arial"/>
          <w:color w:val="000000"/>
          <w:sz w:val="20"/>
          <w:szCs w:val="20"/>
        </w:rPr>
        <w:t xml:space="preserve"> l’imposta di bollo può essere assolta mediante pagamento dell’imposta ad intermediario convenzionato con l’Agenzia delle </w:t>
      </w:r>
      <w:r w:rsidR="00FC4A76">
        <w:rPr>
          <w:rFonts w:ascii="Arial" w:eastAsia="Arial" w:hAnsi="Arial" w:cs="Arial"/>
          <w:color w:val="000000"/>
          <w:sz w:val="20"/>
          <w:szCs w:val="20"/>
        </w:rPr>
        <w:t>E</w:t>
      </w:r>
      <w:r w:rsidRPr="00AE6829">
        <w:rPr>
          <w:rFonts w:ascii="Arial" w:eastAsia="Arial" w:hAnsi="Arial" w:cs="Arial"/>
          <w:color w:val="000000"/>
          <w:sz w:val="20"/>
          <w:szCs w:val="20"/>
        </w:rPr>
        <w:t>ntrate, il quale rilascia, con modalità telematiche, apposito contrassegno.</w:t>
      </w:r>
    </w:p>
    <w:p w14:paraId="333FFA4A" w14:textId="1E176E53" w:rsidR="006A72D7" w:rsidRPr="00AE6829" w:rsidRDefault="006A72D7"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E6829">
        <w:rPr>
          <w:rFonts w:ascii="Arial" w:eastAsia="Arial" w:hAnsi="Arial" w:cs="Arial"/>
          <w:color w:val="000000"/>
          <w:sz w:val="20"/>
          <w:szCs w:val="20"/>
        </w:rPr>
        <w:t>Con</w:t>
      </w:r>
      <w:r w:rsidR="00FC4A76">
        <w:rPr>
          <w:rFonts w:ascii="Arial" w:eastAsia="Arial" w:hAnsi="Arial" w:cs="Arial"/>
          <w:color w:val="000000"/>
          <w:sz w:val="20"/>
          <w:szCs w:val="20"/>
        </w:rPr>
        <w:t xml:space="preserve"> </w:t>
      </w:r>
      <w:r w:rsidR="00FC4A76">
        <w:rPr>
          <w:rFonts w:ascii="Arial" w:eastAsia="Arial" w:hAnsi="Arial" w:cs="Arial"/>
          <w:sz w:val="20"/>
          <w:szCs w:val="20"/>
        </w:rPr>
        <w:t>p</w:t>
      </w:r>
      <w:r w:rsidRPr="00AE6829">
        <w:rPr>
          <w:rFonts w:ascii="Arial" w:eastAsia="Arial" w:hAnsi="Arial" w:cs="Arial"/>
          <w:sz w:val="20"/>
          <w:szCs w:val="20"/>
        </w:rPr>
        <w:t>rovvedimento del 20 ottobre</w:t>
      </w:r>
      <w:r w:rsidR="00FC4A76">
        <w:rPr>
          <w:rFonts w:ascii="Arial" w:eastAsia="Arial" w:hAnsi="Arial" w:cs="Arial"/>
          <w:color w:val="000000"/>
          <w:sz w:val="20"/>
          <w:szCs w:val="20"/>
        </w:rPr>
        <w:t xml:space="preserve">, </w:t>
      </w:r>
      <w:r w:rsidRPr="00AE6829">
        <w:rPr>
          <w:rFonts w:ascii="Arial" w:eastAsia="Arial" w:hAnsi="Arial" w:cs="Arial"/>
          <w:color w:val="000000"/>
          <w:sz w:val="20"/>
          <w:szCs w:val="20"/>
        </w:rPr>
        <w:t xml:space="preserve">l’Agenzia </w:t>
      </w:r>
      <w:r w:rsidR="00FC4A76">
        <w:rPr>
          <w:rFonts w:ascii="Arial" w:eastAsia="Arial" w:hAnsi="Arial" w:cs="Arial"/>
          <w:color w:val="000000"/>
          <w:sz w:val="20"/>
          <w:szCs w:val="20"/>
        </w:rPr>
        <w:t xml:space="preserve">delle </w:t>
      </w:r>
      <w:r w:rsidRPr="00AE6829">
        <w:rPr>
          <w:rFonts w:ascii="Arial" w:eastAsia="Arial" w:hAnsi="Arial" w:cs="Arial"/>
          <w:color w:val="000000"/>
          <w:sz w:val="20"/>
          <w:szCs w:val="20"/>
        </w:rPr>
        <w:t>Entrate aggiorna le caratteristiche e le modalità d’uso del</w:t>
      </w:r>
      <w:r w:rsidR="00FC4A76">
        <w:rPr>
          <w:rFonts w:ascii="Arial" w:eastAsia="Arial" w:hAnsi="Arial" w:cs="Arial"/>
          <w:color w:val="000000"/>
          <w:sz w:val="20"/>
          <w:szCs w:val="20"/>
        </w:rPr>
        <w:t xml:space="preserve"> </w:t>
      </w:r>
      <w:r w:rsidRPr="00AE6829">
        <w:rPr>
          <w:rFonts w:ascii="Arial" w:eastAsia="Arial" w:hAnsi="Arial" w:cs="Arial"/>
          <w:b/>
          <w:bCs/>
          <w:color w:val="000000"/>
          <w:sz w:val="20"/>
          <w:szCs w:val="20"/>
        </w:rPr>
        <w:t>contrassegno telematico sostitutivo della marca da bollo</w:t>
      </w:r>
      <w:r w:rsidR="00FC4A76">
        <w:rPr>
          <w:rFonts w:ascii="Arial" w:eastAsia="Arial" w:hAnsi="Arial" w:cs="Arial"/>
          <w:color w:val="000000"/>
          <w:sz w:val="20"/>
          <w:szCs w:val="20"/>
        </w:rPr>
        <w:t xml:space="preserve"> </w:t>
      </w:r>
      <w:r w:rsidRPr="00AE6829">
        <w:rPr>
          <w:rFonts w:ascii="Arial" w:eastAsia="Arial" w:hAnsi="Arial" w:cs="Arial"/>
          <w:color w:val="000000"/>
          <w:sz w:val="20"/>
          <w:szCs w:val="20"/>
        </w:rPr>
        <w:t>rilasciato dagli intermediari (Allegato A), al fine di garantirne</w:t>
      </w:r>
      <w:r w:rsidR="00FC4A76">
        <w:rPr>
          <w:rFonts w:ascii="Arial" w:eastAsia="Arial" w:hAnsi="Arial" w:cs="Arial"/>
          <w:color w:val="000000"/>
          <w:sz w:val="20"/>
          <w:szCs w:val="20"/>
        </w:rPr>
        <w:t xml:space="preserve"> </w:t>
      </w:r>
      <w:r w:rsidRPr="00FC4A76">
        <w:rPr>
          <w:rFonts w:ascii="Arial" w:eastAsia="Arial" w:hAnsi="Arial" w:cs="Arial"/>
          <w:color w:val="000000"/>
          <w:sz w:val="20"/>
          <w:szCs w:val="20"/>
        </w:rPr>
        <w:t>la</w:t>
      </w:r>
      <w:r w:rsidR="00FC4A76" w:rsidRPr="00FC4A76">
        <w:rPr>
          <w:rFonts w:ascii="Arial" w:eastAsia="Arial" w:hAnsi="Arial" w:cs="Arial"/>
          <w:color w:val="000000"/>
          <w:sz w:val="20"/>
          <w:szCs w:val="20"/>
        </w:rPr>
        <w:t xml:space="preserve"> </w:t>
      </w:r>
      <w:r w:rsidRPr="00AE6829">
        <w:rPr>
          <w:rFonts w:ascii="Arial" w:eastAsia="Arial" w:hAnsi="Arial" w:cs="Arial"/>
          <w:b/>
          <w:bCs/>
          <w:color w:val="000000"/>
          <w:sz w:val="20"/>
          <w:szCs w:val="20"/>
        </w:rPr>
        <w:t>riconoscibilità</w:t>
      </w:r>
      <w:r w:rsidR="00FC4A76">
        <w:rPr>
          <w:rFonts w:ascii="Arial" w:eastAsia="Arial" w:hAnsi="Arial" w:cs="Arial"/>
          <w:color w:val="000000"/>
          <w:sz w:val="20"/>
          <w:szCs w:val="20"/>
        </w:rPr>
        <w:t xml:space="preserve"> </w:t>
      </w:r>
      <w:r w:rsidRPr="00AE6829">
        <w:rPr>
          <w:rFonts w:ascii="Arial" w:eastAsia="Arial" w:hAnsi="Arial" w:cs="Arial"/>
          <w:color w:val="000000"/>
          <w:sz w:val="20"/>
          <w:szCs w:val="20"/>
        </w:rPr>
        <w:t>da parte dei contribuenti e degli uffici preposti al controllo,</w:t>
      </w:r>
      <w:r w:rsidR="00FC4A76">
        <w:rPr>
          <w:rFonts w:ascii="Arial" w:eastAsia="Arial" w:hAnsi="Arial" w:cs="Arial"/>
          <w:color w:val="000000"/>
          <w:sz w:val="20"/>
          <w:szCs w:val="20"/>
        </w:rPr>
        <w:t xml:space="preserve"> </w:t>
      </w:r>
      <w:r w:rsidRPr="00FC4A76">
        <w:rPr>
          <w:rFonts w:ascii="Arial" w:eastAsia="Arial" w:hAnsi="Arial" w:cs="Arial"/>
          <w:color w:val="000000"/>
          <w:sz w:val="20"/>
          <w:szCs w:val="20"/>
        </w:rPr>
        <w:t xml:space="preserve">gli </w:t>
      </w:r>
      <w:r w:rsidRPr="00AE6829">
        <w:rPr>
          <w:rFonts w:ascii="Arial" w:eastAsia="Arial" w:hAnsi="Arial" w:cs="Arial"/>
          <w:b/>
          <w:bCs/>
          <w:color w:val="000000"/>
          <w:sz w:val="20"/>
          <w:szCs w:val="20"/>
        </w:rPr>
        <w:t>standard di sicurezza</w:t>
      </w:r>
      <w:r w:rsidR="00FC4A76">
        <w:rPr>
          <w:rFonts w:ascii="Arial" w:eastAsia="Arial" w:hAnsi="Arial" w:cs="Arial"/>
          <w:color w:val="000000"/>
          <w:sz w:val="20"/>
          <w:szCs w:val="20"/>
        </w:rPr>
        <w:t xml:space="preserve"> </w:t>
      </w:r>
      <w:r w:rsidRPr="00FC4A76">
        <w:rPr>
          <w:rFonts w:ascii="Arial" w:eastAsia="Arial" w:hAnsi="Arial" w:cs="Arial"/>
          <w:color w:val="000000"/>
          <w:sz w:val="20"/>
          <w:szCs w:val="20"/>
        </w:rPr>
        <w:t>e</w:t>
      </w:r>
      <w:r w:rsidR="00FC4A76">
        <w:rPr>
          <w:rFonts w:ascii="Arial" w:eastAsia="Arial" w:hAnsi="Arial" w:cs="Arial"/>
          <w:color w:val="000000"/>
          <w:sz w:val="20"/>
          <w:szCs w:val="20"/>
        </w:rPr>
        <w:t xml:space="preserve"> </w:t>
      </w:r>
      <w:r w:rsidRPr="00FC4A76">
        <w:rPr>
          <w:rFonts w:ascii="Arial" w:eastAsia="Arial" w:hAnsi="Arial" w:cs="Arial"/>
          <w:color w:val="000000"/>
          <w:sz w:val="20"/>
          <w:szCs w:val="20"/>
        </w:rPr>
        <w:t xml:space="preserve">la </w:t>
      </w:r>
      <w:r w:rsidRPr="00AE6829">
        <w:rPr>
          <w:rFonts w:ascii="Arial" w:eastAsia="Arial" w:hAnsi="Arial" w:cs="Arial"/>
          <w:b/>
          <w:bCs/>
          <w:color w:val="000000"/>
          <w:sz w:val="20"/>
          <w:szCs w:val="20"/>
        </w:rPr>
        <w:t>tracciabilità informatica</w:t>
      </w:r>
      <w:r w:rsidRPr="00AE6829">
        <w:rPr>
          <w:rFonts w:ascii="Arial" w:eastAsia="Arial" w:hAnsi="Arial" w:cs="Arial"/>
          <w:color w:val="000000"/>
          <w:sz w:val="20"/>
          <w:szCs w:val="20"/>
        </w:rPr>
        <w:t>.</w:t>
      </w:r>
    </w:p>
    <w:p w14:paraId="149797BA" w14:textId="309D7E6C" w:rsidR="006A72D7" w:rsidRPr="00AE6829" w:rsidRDefault="006A72D7"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E6829">
        <w:rPr>
          <w:rFonts w:ascii="Arial" w:eastAsia="Arial" w:hAnsi="Arial" w:cs="Arial"/>
          <w:color w:val="000000"/>
          <w:sz w:val="20"/>
          <w:szCs w:val="20"/>
        </w:rPr>
        <w:t xml:space="preserve">Aggiornati anche i requisiti del sistema informatico idoneo ad assicurare il collegamento tra gli intermediari e l’Agenzia delle </w:t>
      </w:r>
      <w:r w:rsidR="00FC4A76">
        <w:rPr>
          <w:rFonts w:ascii="Arial" w:eastAsia="Arial" w:hAnsi="Arial" w:cs="Arial"/>
          <w:color w:val="000000"/>
          <w:sz w:val="20"/>
          <w:szCs w:val="20"/>
        </w:rPr>
        <w:t>E</w:t>
      </w:r>
      <w:r w:rsidRPr="00AE6829">
        <w:rPr>
          <w:rFonts w:ascii="Arial" w:eastAsia="Arial" w:hAnsi="Arial" w:cs="Arial"/>
          <w:color w:val="000000"/>
          <w:sz w:val="20"/>
          <w:szCs w:val="20"/>
        </w:rPr>
        <w:t>ntrate (Allegato B), uniformandoli alle specifiche e agli standard tecnologici e di sicurezza dei nuovi dispositivi.</w:t>
      </w:r>
    </w:p>
    <w:p w14:paraId="08B027FF" w14:textId="003F39C3" w:rsidR="006A72D7" w:rsidRPr="00AE6829" w:rsidRDefault="006A72D7"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AE6829">
        <w:rPr>
          <w:rFonts w:ascii="Arial" w:eastAsia="Arial" w:hAnsi="Arial" w:cs="Arial"/>
          <w:color w:val="000000"/>
          <w:sz w:val="20"/>
          <w:szCs w:val="20"/>
        </w:rPr>
        <w:t>Il provvedimento pubblicato uniforma la disciplina di riferimento sostituendo integralmente quanto stabilito con i precedenti provvedimenti del 5 maggio 2005 e del 12 gennaio 2015.</w:t>
      </w:r>
    </w:p>
    <w:p w14:paraId="45AB2525" w14:textId="77777777" w:rsidR="003D4BD1" w:rsidRPr="00AE6829" w:rsidRDefault="003D4BD1"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52B7CDDF" w14:textId="77777777" w:rsidR="003D4BD1" w:rsidRPr="00AE6829" w:rsidRDefault="003D4BD1" w:rsidP="00AE6829">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tbl>
      <w:tblPr>
        <w:tblStyle w:val="a5"/>
        <w:tblW w:w="10525" w:type="dxa"/>
        <w:tblInd w:w="0" w:type="dxa"/>
        <w:tblLayout w:type="fixed"/>
        <w:tblLook w:val="0000" w:firstRow="0" w:lastRow="0" w:firstColumn="0" w:lastColumn="0" w:noHBand="0" w:noVBand="0"/>
      </w:tblPr>
      <w:tblGrid>
        <w:gridCol w:w="3760"/>
        <w:gridCol w:w="6765"/>
      </w:tblGrid>
      <w:tr w:rsidR="003D4BD1" w14:paraId="7FA5E031" w14:textId="77777777" w:rsidTr="00107D84">
        <w:trPr>
          <w:trHeight w:val="255"/>
        </w:trPr>
        <w:tc>
          <w:tcPr>
            <w:tcW w:w="10525" w:type="dxa"/>
            <w:gridSpan w:val="2"/>
            <w:tcBorders>
              <w:top w:val="nil"/>
              <w:left w:val="nil"/>
              <w:bottom w:val="nil"/>
              <w:right w:val="nil"/>
            </w:tcBorders>
          </w:tcPr>
          <w:p w14:paraId="317F672C"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3D4BD1" w14:paraId="45E452B2" w14:textId="77777777" w:rsidTr="00107D84">
        <w:trPr>
          <w:trHeight w:val="255"/>
        </w:trPr>
        <w:tc>
          <w:tcPr>
            <w:tcW w:w="10525" w:type="dxa"/>
            <w:gridSpan w:val="2"/>
            <w:tcBorders>
              <w:top w:val="nil"/>
              <w:left w:val="nil"/>
              <w:bottom w:val="nil"/>
              <w:right w:val="nil"/>
            </w:tcBorders>
          </w:tcPr>
          <w:p w14:paraId="1996B682"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3D4BD1" w14:paraId="7702C174" w14:textId="77777777" w:rsidTr="00107D84">
        <w:trPr>
          <w:trHeight w:val="255"/>
        </w:trPr>
        <w:tc>
          <w:tcPr>
            <w:tcW w:w="10525" w:type="dxa"/>
            <w:gridSpan w:val="2"/>
            <w:tcBorders>
              <w:top w:val="nil"/>
              <w:left w:val="nil"/>
              <w:bottom w:val="nil"/>
              <w:right w:val="nil"/>
            </w:tcBorders>
          </w:tcPr>
          <w:p w14:paraId="63455CB7"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Condomini</w:t>
            </w:r>
          </w:p>
        </w:tc>
      </w:tr>
      <w:tr w:rsidR="003D4BD1" w14:paraId="6D56A72B" w14:textId="77777777" w:rsidTr="00107D84">
        <w:trPr>
          <w:trHeight w:val="255"/>
        </w:trPr>
        <w:tc>
          <w:tcPr>
            <w:tcW w:w="10525" w:type="dxa"/>
            <w:gridSpan w:val="2"/>
            <w:tcBorders>
              <w:top w:val="nil"/>
              <w:left w:val="nil"/>
              <w:bottom w:val="nil"/>
              <w:right w:val="nil"/>
            </w:tcBorders>
          </w:tcPr>
          <w:p w14:paraId="3FC46B56"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3D4BD1" w14:paraId="3D70D22E" w14:textId="77777777" w:rsidTr="00107D84">
        <w:trPr>
          <w:trHeight w:val="255"/>
        </w:trPr>
        <w:tc>
          <w:tcPr>
            <w:tcW w:w="10525" w:type="dxa"/>
            <w:gridSpan w:val="2"/>
            <w:tcBorders>
              <w:top w:val="nil"/>
              <w:left w:val="nil"/>
              <w:bottom w:val="nil"/>
              <w:right w:val="nil"/>
            </w:tcBorders>
          </w:tcPr>
          <w:p w14:paraId="30581029"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3D4BD1" w14:paraId="16F2B175" w14:textId="77777777" w:rsidTr="00107D84">
        <w:trPr>
          <w:trHeight w:val="255"/>
        </w:trPr>
        <w:tc>
          <w:tcPr>
            <w:tcW w:w="10525" w:type="dxa"/>
            <w:gridSpan w:val="2"/>
            <w:tcBorders>
              <w:top w:val="nil"/>
              <w:left w:val="nil"/>
              <w:bottom w:val="nil"/>
              <w:right w:val="nil"/>
            </w:tcBorders>
          </w:tcPr>
          <w:p w14:paraId="2C3C0E05"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3D4BD1" w14:paraId="33016D28" w14:textId="77777777" w:rsidTr="00107D84">
        <w:trPr>
          <w:trHeight w:val="255"/>
        </w:trPr>
        <w:tc>
          <w:tcPr>
            <w:tcW w:w="10525" w:type="dxa"/>
            <w:gridSpan w:val="2"/>
            <w:tcBorders>
              <w:top w:val="nil"/>
              <w:left w:val="nil"/>
              <w:bottom w:val="nil"/>
              <w:right w:val="nil"/>
            </w:tcBorders>
          </w:tcPr>
          <w:p w14:paraId="778E8E99"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rPr>
              <w:t>Persone fisiche</w:t>
            </w:r>
          </w:p>
        </w:tc>
      </w:tr>
      <w:tr w:rsidR="003D4BD1" w14:paraId="29395F95" w14:textId="77777777" w:rsidTr="00107D84">
        <w:trPr>
          <w:trHeight w:val="255"/>
        </w:trPr>
        <w:tc>
          <w:tcPr>
            <w:tcW w:w="10525" w:type="dxa"/>
            <w:gridSpan w:val="2"/>
            <w:tcBorders>
              <w:top w:val="nil"/>
              <w:left w:val="nil"/>
              <w:bottom w:val="nil"/>
              <w:right w:val="nil"/>
            </w:tcBorders>
          </w:tcPr>
          <w:p w14:paraId="58C56ED2"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3D4BD1" w14:paraId="47C50390" w14:textId="77777777" w:rsidTr="00107D84">
        <w:trPr>
          <w:trHeight w:val="255"/>
        </w:trPr>
        <w:tc>
          <w:tcPr>
            <w:tcW w:w="10525" w:type="dxa"/>
            <w:gridSpan w:val="2"/>
            <w:tcBorders>
              <w:top w:val="nil"/>
              <w:left w:val="nil"/>
              <w:bottom w:val="nil"/>
              <w:right w:val="nil"/>
            </w:tcBorders>
          </w:tcPr>
          <w:p w14:paraId="1914A32F"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lastRenderedPageBreak/>
              <w:t>Società di persone</w:t>
            </w:r>
          </w:p>
        </w:tc>
      </w:tr>
      <w:tr w:rsidR="003D4BD1" w14:paraId="04D1C546" w14:textId="77777777" w:rsidTr="00107D84">
        <w:trPr>
          <w:trHeight w:val="255"/>
        </w:trPr>
        <w:tc>
          <w:tcPr>
            <w:tcW w:w="3760" w:type="dxa"/>
            <w:tcBorders>
              <w:top w:val="single" w:sz="4" w:space="0" w:color="000000"/>
              <w:left w:val="single" w:sz="4" w:space="0" w:color="000000"/>
              <w:bottom w:val="single" w:sz="4" w:space="0" w:color="000000"/>
              <w:right w:val="single" w:sz="4" w:space="0" w:color="000000"/>
            </w:tcBorders>
          </w:tcPr>
          <w:p w14:paraId="6C267BB5"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p>
        </w:tc>
        <w:tc>
          <w:tcPr>
            <w:tcW w:w="6765" w:type="dxa"/>
            <w:tcBorders>
              <w:top w:val="single" w:sz="4" w:space="0" w:color="000000"/>
              <w:left w:val="nil"/>
              <w:bottom w:val="single" w:sz="4" w:space="0" w:color="000000"/>
              <w:right w:val="single" w:sz="4" w:space="0" w:color="000000"/>
            </w:tcBorders>
          </w:tcPr>
          <w:p w14:paraId="1B64CB23"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p>
        </w:tc>
      </w:tr>
    </w:tbl>
    <w:p w14:paraId="7E89D3CF" w14:textId="77777777" w:rsidR="003D4BD1" w:rsidRDefault="003D4BD1"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5B865288" w14:textId="6EE1587E" w:rsidR="00FC4A76" w:rsidRPr="00FC4A76" w:rsidRDefault="00FC4A76" w:rsidP="00FC4A76">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FC4A76">
        <w:rPr>
          <w:rFonts w:ascii="Calibri" w:hAnsi="Calibri" w:cs="Arial"/>
          <w:color w:val="0F0F0F"/>
          <w:sz w:val="20"/>
          <w:szCs w:val="20"/>
        </w:rPr>
        <w:t>AGEVOLAZIONI</w:t>
      </w:r>
    </w:p>
    <w:p w14:paraId="458CD16D" w14:textId="77777777" w:rsidR="006A72D7" w:rsidRPr="00FC4A76"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FC4A76">
        <w:rPr>
          <w:rFonts w:ascii="Arial" w:eastAsia="Arial" w:hAnsi="Arial" w:cs="Arial"/>
          <w:b/>
          <w:bCs/>
          <w:color w:val="000000"/>
          <w:sz w:val="20"/>
          <w:szCs w:val="20"/>
        </w:rPr>
        <w:t>Bonus ricerca e sviluppo: la Corte tributaria chiarisce i limiti per l’ammissibilità delle attività agevolabili</w:t>
      </w:r>
    </w:p>
    <w:p w14:paraId="0D7F2B0C" w14:textId="0D0FC8D6" w:rsidR="00FC4A76" w:rsidRPr="00297210" w:rsidRDefault="00297210"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297210">
        <w:rPr>
          <w:rFonts w:ascii="Arial" w:eastAsia="Arial" w:hAnsi="Arial" w:cs="Arial"/>
          <w:i/>
          <w:iCs/>
          <w:color w:val="000000"/>
          <w:sz w:val="20"/>
          <w:szCs w:val="20"/>
        </w:rPr>
        <w:t>Corte di giustizia tributaria di secondo grado del Molise, Sentenza 4 luglio 2025, n. 143</w:t>
      </w:r>
    </w:p>
    <w:p w14:paraId="7C75EC9C" w14:textId="5394F036" w:rsidR="006A72D7" w:rsidRPr="00FC4A76"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FC4A76">
        <w:rPr>
          <w:rFonts w:ascii="Arial" w:eastAsia="Arial" w:hAnsi="Arial" w:cs="Arial"/>
          <w:color w:val="000000"/>
          <w:sz w:val="20"/>
          <w:szCs w:val="20"/>
        </w:rPr>
        <w:t>Le</w:t>
      </w:r>
      <w:r w:rsidR="00FC4A76">
        <w:rPr>
          <w:rFonts w:ascii="Arial" w:eastAsia="Arial" w:hAnsi="Arial" w:cs="Arial"/>
          <w:color w:val="000000"/>
          <w:sz w:val="20"/>
          <w:szCs w:val="20"/>
        </w:rPr>
        <w:t xml:space="preserve"> </w:t>
      </w:r>
      <w:r w:rsidRPr="00FC4A76">
        <w:rPr>
          <w:rFonts w:ascii="Arial" w:eastAsia="Arial" w:hAnsi="Arial" w:cs="Arial"/>
          <w:b/>
          <w:bCs/>
          <w:color w:val="000000"/>
          <w:sz w:val="20"/>
          <w:szCs w:val="20"/>
        </w:rPr>
        <w:t>attività di ricerca e sviluppo</w:t>
      </w:r>
      <w:r w:rsidRPr="00FC4A76">
        <w:rPr>
          <w:rFonts w:ascii="Arial" w:eastAsia="Arial" w:hAnsi="Arial" w:cs="Arial"/>
          <w:color w:val="000000"/>
          <w:sz w:val="20"/>
          <w:szCs w:val="20"/>
        </w:rPr>
        <w:t xml:space="preserve">, rilevanti ai fini dei benefici di legge, vanno individuate con </w:t>
      </w:r>
      <w:r w:rsidRPr="00297210">
        <w:rPr>
          <w:rFonts w:ascii="Arial" w:eastAsia="Arial" w:hAnsi="Arial" w:cs="Arial"/>
          <w:b/>
          <w:bCs/>
          <w:color w:val="000000"/>
          <w:sz w:val="20"/>
          <w:szCs w:val="20"/>
        </w:rPr>
        <w:t>criteri</w:t>
      </w:r>
      <w:r w:rsidR="00297210" w:rsidRPr="00297210">
        <w:rPr>
          <w:rFonts w:ascii="Arial" w:eastAsia="Arial" w:hAnsi="Arial" w:cs="Arial"/>
          <w:b/>
          <w:bCs/>
          <w:color w:val="000000"/>
          <w:sz w:val="20"/>
          <w:szCs w:val="20"/>
        </w:rPr>
        <w:t xml:space="preserve"> </w:t>
      </w:r>
      <w:r w:rsidRPr="00297210">
        <w:rPr>
          <w:rFonts w:ascii="Arial" w:eastAsia="Arial" w:hAnsi="Arial" w:cs="Arial"/>
          <w:b/>
          <w:bCs/>
          <w:color w:val="000000"/>
          <w:sz w:val="20"/>
          <w:szCs w:val="20"/>
        </w:rPr>
        <w:t>estr</w:t>
      </w:r>
      <w:r w:rsidRPr="00FC4A76">
        <w:rPr>
          <w:rFonts w:ascii="Arial" w:eastAsia="Arial" w:hAnsi="Arial" w:cs="Arial"/>
          <w:b/>
          <w:bCs/>
          <w:color w:val="000000"/>
          <w:sz w:val="20"/>
          <w:szCs w:val="20"/>
        </w:rPr>
        <w:t>emamente restrittivi</w:t>
      </w:r>
      <w:r w:rsidRPr="00FC4A76">
        <w:rPr>
          <w:rFonts w:ascii="Arial" w:eastAsia="Arial" w:hAnsi="Arial" w:cs="Arial"/>
          <w:color w:val="000000"/>
          <w:sz w:val="20"/>
          <w:szCs w:val="20"/>
        </w:rPr>
        <w:t>, come prefigurati dalle specifiche disposizioni normative, in quanto non coincidono</w:t>
      </w:r>
      <w:r w:rsidR="00297210">
        <w:rPr>
          <w:rFonts w:ascii="Arial" w:eastAsia="Arial" w:hAnsi="Arial" w:cs="Arial"/>
          <w:color w:val="000000"/>
          <w:sz w:val="20"/>
          <w:szCs w:val="20"/>
        </w:rPr>
        <w:t xml:space="preserve"> </w:t>
      </w:r>
      <w:r w:rsidRPr="00FC4A76">
        <w:rPr>
          <w:rFonts w:ascii="Arial" w:eastAsia="Arial" w:hAnsi="Arial" w:cs="Arial"/>
          <w:i/>
          <w:iCs/>
          <w:color w:val="000000"/>
          <w:sz w:val="20"/>
          <w:szCs w:val="20"/>
        </w:rPr>
        <w:t>tout court</w:t>
      </w:r>
      <w:r w:rsidR="00297210">
        <w:rPr>
          <w:rFonts w:ascii="Arial" w:eastAsia="Arial" w:hAnsi="Arial" w:cs="Arial"/>
          <w:color w:val="000000"/>
          <w:sz w:val="20"/>
          <w:szCs w:val="20"/>
        </w:rPr>
        <w:t xml:space="preserve"> </w:t>
      </w:r>
      <w:r w:rsidRPr="00FC4A76">
        <w:rPr>
          <w:rFonts w:ascii="Arial" w:eastAsia="Arial" w:hAnsi="Arial" w:cs="Arial"/>
          <w:color w:val="000000"/>
          <w:sz w:val="20"/>
          <w:szCs w:val="20"/>
        </w:rPr>
        <w:t>con qualsivoglia innovazione, pur significativa, che confliggerebbe con il rischio degli aiuti di Stato inibiti dall’art. 107 TFUE.</w:t>
      </w:r>
    </w:p>
    <w:p w14:paraId="5303280A" w14:textId="77777777" w:rsidR="006A72D7" w:rsidRPr="00FC4A76"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FC4A76">
        <w:rPr>
          <w:rFonts w:ascii="Arial" w:eastAsia="Arial" w:hAnsi="Arial" w:cs="Arial"/>
          <w:color w:val="000000"/>
          <w:sz w:val="20"/>
          <w:szCs w:val="20"/>
        </w:rPr>
        <w:t>Per essere ammesse al beneficio, le attività devono avere le seguenti caratteristiche:</w:t>
      </w:r>
    </w:p>
    <w:p w14:paraId="3B23DBC7" w14:textId="75B066EB" w:rsidR="006A72D7" w:rsidRPr="00297210" w:rsidRDefault="00297210" w:rsidP="009C475F">
      <w:pPr>
        <w:pStyle w:val="Paragrafoelenco"/>
        <w:numPr>
          <w:ilvl w:val="0"/>
          <w:numId w:val="9"/>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n</w:t>
      </w:r>
      <w:r w:rsidR="006A72D7" w:rsidRPr="00297210">
        <w:rPr>
          <w:rFonts w:ascii="Arial" w:eastAsia="Arial" w:hAnsi="Arial" w:cs="Arial"/>
          <w:b/>
          <w:bCs/>
          <w:color w:val="000000"/>
          <w:sz w:val="20"/>
          <w:szCs w:val="20"/>
        </w:rPr>
        <w:t>ovità</w:t>
      </w:r>
      <w:r w:rsidRPr="00297210">
        <w:rPr>
          <w:rFonts w:ascii="Arial" w:eastAsia="Arial" w:hAnsi="Arial" w:cs="Arial"/>
          <w:color w:val="000000"/>
          <w:sz w:val="20"/>
          <w:szCs w:val="20"/>
        </w:rPr>
        <w:t xml:space="preserve">, </w:t>
      </w:r>
      <w:r w:rsidR="006A72D7" w:rsidRPr="00297210">
        <w:rPr>
          <w:rFonts w:ascii="Arial" w:eastAsia="Arial" w:hAnsi="Arial" w:cs="Arial"/>
          <w:color w:val="000000"/>
          <w:sz w:val="20"/>
          <w:szCs w:val="20"/>
        </w:rPr>
        <w:t>intesa come qualcosa di nuovo in termini di conoscenza ovvero di applicazione che richiede il contributo di un ricercatore;</w:t>
      </w:r>
    </w:p>
    <w:p w14:paraId="69B33A75" w14:textId="629FF3EE" w:rsidR="006A72D7" w:rsidRPr="00297210" w:rsidRDefault="00297210" w:rsidP="009C475F">
      <w:pPr>
        <w:pStyle w:val="Paragrafoelenco"/>
        <w:numPr>
          <w:ilvl w:val="0"/>
          <w:numId w:val="9"/>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c</w:t>
      </w:r>
      <w:r w:rsidR="006A72D7" w:rsidRPr="00297210">
        <w:rPr>
          <w:rFonts w:ascii="Arial" w:eastAsia="Arial" w:hAnsi="Arial" w:cs="Arial"/>
          <w:b/>
          <w:bCs/>
          <w:color w:val="000000"/>
          <w:sz w:val="20"/>
          <w:szCs w:val="20"/>
        </w:rPr>
        <w:t>reatività</w:t>
      </w:r>
      <w:r w:rsidRPr="00297210">
        <w:rPr>
          <w:rFonts w:ascii="Arial" w:eastAsia="Arial" w:hAnsi="Arial" w:cs="Arial"/>
          <w:color w:val="000000"/>
          <w:sz w:val="20"/>
          <w:szCs w:val="20"/>
        </w:rPr>
        <w:t>,</w:t>
      </w:r>
      <w:r>
        <w:rPr>
          <w:rFonts w:ascii="Arial" w:eastAsia="Arial" w:hAnsi="Arial" w:cs="Arial"/>
          <w:color w:val="000000"/>
          <w:sz w:val="20"/>
          <w:szCs w:val="20"/>
        </w:rPr>
        <w:t xml:space="preserve"> </w:t>
      </w:r>
      <w:r w:rsidR="006A72D7" w:rsidRPr="00297210">
        <w:rPr>
          <w:rFonts w:ascii="Arial" w:eastAsia="Arial" w:hAnsi="Arial" w:cs="Arial"/>
          <w:color w:val="000000"/>
          <w:sz w:val="20"/>
          <w:szCs w:val="20"/>
        </w:rPr>
        <w:t>nel senso come approccio, cioè non ipotizzato e/o già verificato in precedenza come possibile per metodo o risultato;</w:t>
      </w:r>
    </w:p>
    <w:p w14:paraId="1BD67A31" w14:textId="6CFBBC46" w:rsidR="006A72D7" w:rsidRPr="00297210" w:rsidRDefault="006A72D7" w:rsidP="009C475F">
      <w:pPr>
        <w:pStyle w:val="Paragrafoelenco"/>
        <w:numPr>
          <w:ilvl w:val="0"/>
          <w:numId w:val="9"/>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297210">
        <w:rPr>
          <w:rFonts w:ascii="Arial" w:eastAsia="Arial" w:hAnsi="Arial" w:cs="Arial"/>
          <w:b/>
          <w:bCs/>
          <w:color w:val="000000"/>
          <w:sz w:val="20"/>
          <w:szCs w:val="20"/>
        </w:rPr>
        <w:t>incertezza</w:t>
      </w:r>
      <w:r w:rsidR="00297210">
        <w:rPr>
          <w:rFonts w:ascii="Arial" w:eastAsia="Arial" w:hAnsi="Arial" w:cs="Arial"/>
          <w:color w:val="000000"/>
          <w:sz w:val="20"/>
          <w:szCs w:val="20"/>
        </w:rPr>
        <w:t xml:space="preserve">, </w:t>
      </w:r>
      <w:r w:rsidRPr="00297210">
        <w:rPr>
          <w:rFonts w:ascii="Arial" w:eastAsia="Arial" w:hAnsi="Arial" w:cs="Arial"/>
          <w:color w:val="000000"/>
          <w:sz w:val="20"/>
          <w:szCs w:val="20"/>
        </w:rPr>
        <w:t>intesa come risultato della ricerca e sviluppo all’obiettivo prefigurato;</w:t>
      </w:r>
    </w:p>
    <w:p w14:paraId="0E1A5B8E" w14:textId="6FD43492" w:rsidR="006A72D7" w:rsidRPr="00297210" w:rsidRDefault="006A72D7" w:rsidP="009C475F">
      <w:pPr>
        <w:pStyle w:val="Paragrafoelenco"/>
        <w:numPr>
          <w:ilvl w:val="0"/>
          <w:numId w:val="9"/>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297210">
        <w:rPr>
          <w:rFonts w:ascii="Arial" w:eastAsia="Arial" w:hAnsi="Arial" w:cs="Arial"/>
          <w:b/>
          <w:bCs/>
          <w:color w:val="000000"/>
          <w:sz w:val="20"/>
          <w:szCs w:val="20"/>
        </w:rPr>
        <w:t>sistematicità</w:t>
      </w:r>
      <w:r w:rsidR="00297210">
        <w:rPr>
          <w:rFonts w:ascii="Arial" w:eastAsia="Arial" w:hAnsi="Arial" w:cs="Arial"/>
          <w:color w:val="000000"/>
          <w:sz w:val="20"/>
          <w:szCs w:val="20"/>
        </w:rPr>
        <w:t xml:space="preserve">, </w:t>
      </w:r>
      <w:r w:rsidRPr="00297210">
        <w:rPr>
          <w:rFonts w:ascii="Arial" w:eastAsia="Arial" w:hAnsi="Arial" w:cs="Arial"/>
          <w:color w:val="000000"/>
          <w:sz w:val="20"/>
          <w:szCs w:val="20"/>
        </w:rPr>
        <w:t>intesa quale organizzazione della ricerca o dello sviluppo per l’oggetto specifico prefigurato;</w:t>
      </w:r>
    </w:p>
    <w:p w14:paraId="24372171" w14:textId="42713AA0" w:rsidR="006A72D7" w:rsidRPr="00297210" w:rsidRDefault="006A72D7" w:rsidP="009C475F">
      <w:pPr>
        <w:pStyle w:val="Paragrafoelenco"/>
        <w:numPr>
          <w:ilvl w:val="0"/>
          <w:numId w:val="9"/>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297210">
        <w:rPr>
          <w:rFonts w:ascii="Arial" w:eastAsia="Arial" w:hAnsi="Arial" w:cs="Arial"/>
          <w:b/>
          <w:bCs/>
          <w:color w:val="000000"/>
          <w:sz w:val="20"/>
          <w:szCs w:val="20"/>
        </w:rPr>
        <w:t>trasferibilità e/o riproducibilità</w:t>
      </w:r>
      <w:r w:rsidR="00297210">
        <w:rPr>
          <w:rFonts w:ascii="Arial" w:eastAsia="Arial" w:hAnsi="Arial" w:cs="Arial"/>
          <w:color w:val="000000"/>
          <w:sz w:val="20"/>
          <w:szCs w:val="20"/>
        </w:rPr>
        <w:t xml:space="preserve">, </w:t>
      </w:r>
      <w:r w:rsidRPr="00297210">
        <w:rPr>
          <w:rFonts w:ascii="Arial" w:eastAsia="Arial" w:hAnsi="Arial" w:cs="Arial"/>
          <w:color w:val="000000"/>
          <w:sz w:val="20"/>
          <w:szCs w:val="20"/>
        </w:rPr>
        <w:t>dovrebbe consentire il trasferimento delle nuove conoscenze, assicurarne l’utilizzo e consentire ad altri ricercatori di riprodurre i risultati nell’ambito delle loro attività di ricerca e sviluppo.</w:t>
      </w:r>
    </w:p>
    <w:p w14:paraId="390EBDD9" w14:textId="77777777" w:rsidR="00297210"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297210">
        <w:rPr>
          <w:rFonts w:ascii="Arial" w:eastAsia="Arial" w:hAnsi="Arial" w:cs="Arial"/>
          <w:color w:val="000000"/>
          <w:sz w:val="20"/>
          <w:szCs w:val="20"/>
        </w:rPr>
        <w:t>Non possono, co</w:t>
      </w:r>
      <w:r w:rsidRPr="00FC4A76">
        <w:rPr>
          <w:rFonts w:ascii="Arial" w:eastAsia="Arial" w:hAnsi="Arial" w:cs="Arial"/>
          <w:color w:val="000000"/>
          <w:sz w:val="20"/>
          <w:szCs w:val="20"/>
        </w:rPr>
        <w:t xml:space="preserve">munque, usufruire del beneficio di legge quelle attività, che pur costituiscono miglioramenti/innovazioni, e in astratto sembrano presentare i caratteri sopra riferiti, </w:t>
      </w:r>
      <w:r w:rsidR="00374496" w:rsidRPr="00FC4A76">
        <w:rPr>
          <w:rFonts w:ascii="Arial" w:eastAsia="Arial" w:hAnsi="Arial" w:cs="Arial"/>
          <w:color w:val="000000"/>
          <w:sz w:val="20"/>
          <w:szCs w:val="20"/>
        </w:rPr>
        <w:t>allorché</w:t>
      </w:r>
      <w:r w:rsidRPr="00FC4A76">
        <w:rPr>
          <w:rFonts w:ascii="Arial" w:eastAsia="Arial" w:hAnsi="Arial" w:cs="Arial"/>
          <w:color w:val="000000"/>
          <w:sz w:val="20"/>
          <w:szCs w:val="20"/>
        </w:rPr>
        <w:t xml:space="preserve"> siano caratterizzate (comma 5 art. cit.) da periodicità intrinseca rispetto al prodotto, alla linea di produzione, al processo di fabbricazione, ai servizi esistenti e alle altre operazioni in corso.</w:t>
      </w:r>
    </w:p>
    <w:p w14:paraId="720AB122" w14:textId="7C9749FE" w:rsidR="006A72D7" w:rsidRPr="00FC4A76"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FC4A76">
        <w:rPr>
          <w:rFonts w:ascii="Arial" w:eastAsia="Arial" w:hAnsi="Arial" w:cs="Arial"/>
          <w:color w:val="000000"/>
          <w:sz w:val="20"/>
          <w:szCs w:val="20"/>
        </w:rPr>
        <w:t>In altri termini, possono godere del beneficio,</w:t>
      </w:r>
      <w:r w:rsidR="00297210">
        <w:rPr>
          <w:rFonts w:ascii="Arial" w:eastAsia="Arial" w:hAnsi="Arial" w:cs="Arial"/>
          <w:color w:val="000000"/>
          <w:sz w:val="20"/>
          <w:szCs w:val="20"/>
        </w:rPr>
        <w:t xml:space="preserve"> </w:t>
      </w:r>
      <w:r w:rsidRPr="00FC4A76">
        <w:rPr>
          <w:rFonts w:ascii="Arial" w:eastAsia="Arial" w:hAnsi="Arial" w:cs="Arial"/>
          <w:b/>
          <w:bCs/>
          <w:color w:val="000000"/>
          <w:sz w:val="20"/>
          <w:szCs w:val="20"/>
        </w:rPr>
        <w:t>esclusivamente</w:t>
      </w:r>
      <w:r w:rsidRPr="00FC4A76">
        <w:rPr>
          <w:rFonts w:ascii="Arial" w:eastAsia="Arial" w:hAnsi="Arial" w:cs="Arial"/>
          <w:color w:val="000000"/>
          <w:sz w:val="20"/>
          <w:szCs w:val="20"/>
        </w:rPr>
        <w:t>, quelle attività sganciate da modifiche naturalmente periodiche, ossia da modifiche intraprese in relazione alle concrete operazioni periodiche necessitate, immanenti, dell’attività propria della impresa (c.d.</w:t>
      </w:r>
      <w:r w:rsidR="00297210">
        <w:rPr>
          <w:rFonts w:ascii="Arial" w:eastAsia="Arial" w:hAnsi="Arial" w:cs="Arial"/>
          <w:color w:val="000000"/>
          <w:sz w:val="20"/>
          <w:szCs w:val="20"/>
        </w:rPr>
        <w:t xml:space="preserve"> </w:t>
      </w:r>
      <w:r w:rsidRPr="00297210">
        <w:rPr>
          <w:rFonts w:ascii="Arial" w:eastAsia="Arial" w:hAnsi="Arial" w:cs="Arial"/>
          <w:color w:val="000000"/>
          <w:sz w:val="20"/>
          <w:szCs w:val="20"/>
        </w:rPr>
        <w:t>“</w:t>
      </w:r>
      <w:r w:rsidRPr="00FC4A76">
        <w:rPr>
          <w:rFonts w:ascii="Arial" w:eastAsia="Arial" w:hAnsi="Arial" w:cs="Arial"/>
          <w:i/>
          <w:iCs/>
          <w:color w:val="000000"/>
          <w:sz w:val="20"/>
          <w:szCs w:val="20"/>
        </w:rPr>
        <w:t>core business</w:t>
      </w:r>
      <w:r w:rsidRPr="00297210">
        <w:rPr>
          <w:rFonts w:ascii="Arial" w:eastAsia="Arial" w:hAnsi="Arial" w:cs="Arial"/>
          <w:color w:val="000000"/>
          <w:sz w:val="20"/>
          <w:szCs w:val="20"/>
        </w:rPr>
        <w:t>”</w:t>
      </w:r>
      <w:r w:rsidRPr="00FC4A76">
        <w:rPr>
          <w:rFonts w:ascii="Arial" w:eastAsia="Arial" w:hAnsi="Arial" w:cs="Arial"/>
          <w:color w:val="000000"/>
          <w:sz w:val="20"/>
          <w:szCs w:val="20"/>
        </w:rPr>
        <w:t>).</w:t>
      </w:r>
    </w:p>
    <w:p w14:paraId="1F3A5153" w14:textId="0B8B3D24" w:rsidR="006A72D7" w:rsidRPr="00FC4A76" w:rsidRDefault="006A72D7" w:rsidP="00FC4A76">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FC4A76">
        <w:rPr>
          <w:rFonts w:ascii="Arial" w:eastAsia="Arial" w:hAnsi="Arial" w:cs="Arial"/>
          <w:color w:val="000000"/>
          <w:sz w:val="20"/>
          <w:szCs w:val="20"/>
        </w:rPr>
        <w:t xml:space="preserve">Sulla base di questi principi, la Corte di giustizia tributaria di secondo grado del Molise, con </w:t>
      </w:r>
      <w:r w:rsidR="00297210">
        <w:rPr>
          <w:rFonts w:ascii="Arial" w:eastAsia="Arial" w:hAnsi="Arial" w:cs="Arial"/>
          <w:color w:val="000000"/>
          <w:sz w:val="20"/>
          <w:szCs w:val="20"/>
        </w:rPr>
        <w:t>s</w:t>
      </w:r>
      <w:r w:rsidRPr="00FC4A76">
        <w:rPr>
          <w:rFonts w:ascii="Arial" w:eastAsia="Arial" w:hAnsi="Arial" w:cs="Arial"/>
          <w:color w:val="000000"/>
          <w:sz w:val="20"/>
          <w:szCs w:val="20"/>
        </w:rPr>
        <w:t>entenza n. 143 del 4 luglio 2025, ha rigettato l’appello proposto da una società avverso un atto di recupero, osservando che il progetto su cui la società aveva fondato il credito non risultava possedere le caratteristiche di “apprezzabile e generalizzata innovazione scientifica e/o tecnologica” e non rispondeva agli altri criteri indicati dal Manuale di Frascati sopra descritti.</w:t>
      </w:r>
    </w:p>
    <w:p w14:paraId="673A1E63" w14:textId="77777777" w:rsidR="0093709F" w:rsidRPr="00FC4A76" w:rsidRDefault="0093709F" w:rsidP="00FC4A76">
      <w:pPr>
        <w:pBdr>
          <w:top w:val="nil"/>
          <w:left w:val="nil"/>
          <w:bottom w:val="nil"/>
          <w:right w:val="nil"/>
          <w:between w:val="nil"/>
        </w:pBdr>
        <w:spacing w:line="300" w:lineRule="atLeast"/>
        <w:ind w:left="0" w:hanging="2"/>
        <w:jc w:val="both"/>
        <w:rPr>
          <w:rFonts w:ascii="Arial" w:eastAsia="Arial" w:hAnsi="Arial" w:cs="Arial"/>
          <w:color w:val="000000"/>
          <w:sz w:val="20"/>
          <w:szCs w:val="20"/>
        </w:rPr>
      </w:pPr>
    </w:p>
    <w:p w14:paraId="738E310C" w14:textId="77777777" w:rsidR="003D4BD1" w:rsidRPr="00FC4A76" w:rsidRDefault="003D4BD1" w:rsidP="00FC4A76">
      <w:pPr>
        <w:pBdr>
          <w:top w:val="nil"/>
          <w:left w:val="nil"/>
          <w:bottom w:val="nil"/>
          <w:right w:val="nil"/>
          <w:between w:val="nil"/>
        </w:pBdr>
        <w:spacing w:line="300" w:lineRule="atLeast"/>
        <w:ind w:left="0" w:hanging="2"/>
        <w:jc w:val="both"/>
        <w:rPr>
          <w:rFonts w:ascii="Arial" w:eastAsia="Arial" w:hAnsi="Arial" w:cs="Arial"/>
          <w:color w:val="000000"/>
          <w:sz w:val="20"/>
          <w:szCs w:val="20"/>
        </w:rPr>
      </w:pPr>
    </w:p>
    <w:tbl>
      <w:tblPr>
        <w:tblStyle w:val="a5"/>
        <w:tblW w:w="10525" w:type="dxa"/>
        <w:tblInd w:w="0" w:type="dxa"/>
        <w:tblLayout w:type="fixed"/>
        <w:tblLook w:val="0000" w:firstRow="0" w:lastRow="0" w:firstColumn="0" w:lastColumn="0" w:noHBand="0" w:noVBand="0"/>
      </w:tblPr>
      <w:tblGrid>
        <w:gridCol w:w="3760"/>
        <w:gridCol w:w="6765"/>
      </w:tblGrid>
      <w:tr w:rsidR="003D4BD1" w14:paraId="17A40CBE" w14:textId="77777777" w:rsidTr="00107D84">
        <w:trPr>
          <w:trHeight w:val="255"/>
        </w:trPr>
        <w:tc>
          <w:tcPr>
            <w:tcW w:w="10525" w:type="dxa"/>
            <w:gridSpan w:val="2"/>
            <w:tcBorders>
              <w:top w:val="nil"/>
              <w:left w:val="nil"/>
              <w:bottom w:val="nil"/>
              <w:right w:val="nil"/>
            </w:tcBorders>
          </w:tcPr>
          <w:p w14:paraId="0EB6D8B3"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3D4BD1" w14:paraId="37FE3463" w14:textId="77777777" w:rsidTr="00107D84">
        <w:trPr>
          <w:trHeight w:val="255"/>
        </w:trPr>
        <w:tc>
          <w:tcPr>
            <w:tcW w:w="10525" w:type="dxa"/>
            <w:gridSpan w:val="2"/>
            <w:tcBorders>
              <w:top w:val="nil"/>
              <w:left w:val="nil"/>
              <w:bottom w:val="nil"/>
              <w:right w:val="nil"/>
            </w:tcBorders>
          </w:tcPr>
          <w:p w14:paraId="0B8993F7"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3D4BD1" w14:paraId="7C9CD51F" w14:textId="77777777" w:rsidTr="00107D84">
        <w:trPr>
          <w:trHeight w:val="255"/>
        </w:trPr>
        <w:tc>
          <w:tcPr>
            <w:tcW w:w="10525" w:type="dxa"/>
            <w:gridSpan w:val="2"/>
            <w:tcBorders>
              <w:top w:val="nil"/>
              <w:left w:val="nil"/>
              <w:bottom w:val="nil"/>
              <w:right w:val="nil"/>
            </w:tcBorders>
          </w:tcPr>
          <w:p w14:paraId="2E2C82A6"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Condomini</w:t>
            </w:r>
          </w:p>
        </w:tc>
      </w:tr>
      <w:tr w:rsidR="003D4BD1" w14:paraId="180B5031" w14:textId="77777777" w:rsidTr="00107D84">
        <w:trPr>
          <w:trHeight w:val="255"/>
        </w:trPr>
        <w:tc>
          <w:tcPr>
            <w:tcW w:w="10525" w:type="dxa"/>
            <w:gridSpan w:val="2"/>
            <w:tcBorders>
              <w:top w:val="nil"/>
              <w:left w:val="nil"/>
              <w:bottom w:val="nil"/>
              <w:right w:val="nil"/>
            </w:tcBorders>
          </w:tcPr>
          <w:p w14:paraId="27A8F6A8"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3D4BD1" w14:paraId="59B63924" w14:textId="77777777" w:rsidTr="00107D84">
        <w:trPr>
          <w:trHeight w:val="255"/>
        </w:trPr>
        <w:tc>
          <w:tcPr>
            <w:tcW w:w="10525" w:type="dxa"/>
            <w:gridSpan w:val="2"/>
            <w:tcBorders>
              <w:top w:val="nil"/>
              <w:left w:val="nil"/>
              <w:bottom w:val="nil"/>
              <w:right w:val="nil"/>
            </w:tcBorders>
          </w:tcPr>
          <w:p w14:paraId="05103462"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3D4BD1" w14:paraId="252F2FEA" w14:textId="77777777" w:rsidTr="00107D84">
        <w:trPr>
          <w:trHeight w:val="255"/>
        </w:trPr>
        <w:tc>
          <w:tcPr>
            <w:tcW w:w="10525" w:type="dxa"/>
            <w:gridSpan w:val="2"/>
            <w:tcBorders>
              <w:top w:val="nil"/>
              <w:left w:val="nil"/>
              <w:bottom w:val="nil"/>
              <w:right w:val="nil"/>
            </w:tcBorders>
          </w:tcPr>
          <w:p w14:paraId="3EBAF3FE"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3D4BD1" w14:paraId="3060E765" w14:textId="77777777" w:rsidTr="00107D84">
        <w:trPr>
          <w:trHeight w:val="255"/>
        </w:trPr>
        <w:tc>
          <w:tcPr>
            <w:tcW w:w="10525" w:type="dxa"/>
            <w:gridSpan w:val="2"/>
            <w:tcBorders>
              <w:top w:val="nil"/>
              <w:left w:val="nil"/>
              <w:bottom w:val="nil"/>
              <w:right w:val="nil"/>
            </w:tcBorders>
          </w:tcPr>
          <w:p w14:paraId="1E4DF947"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rPr>
              <w:t>Persone fisiche</w:t>
            </w:r>
          </w:p>
        </w:tc>
      </w:tr>
      <w:tr w:rsidR="003D4BD1" w14:paraId="78B09C77" w14:textId="77777777" w:rsidTr="00107D84">
        <w:trPr>
          <w:trHeight w:val="255"/>
        </w:trPr>
        <w:tc>
          <w:tcPr>
            <w:tcW w:w="10525" w:type="dxa"/>
            <w:gridSpan w:val="2"/>
            <w:tcBorders>
              <w:top w:val="nil"/>
              <w:left w:val="nil"/>
              <w:bottom w:val="nil"/>
              <w:right w:val="nil"/>
            </w:tcBorders>
          </w:tcPr>
          <w:p w14:paraId="1099D5ED"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3D4BD1" w14:paraId="141B619C" w14:textId="77777777" w:rsidTr="00107D84">
        <w:trPr>
          <w:trHeight w:val="255"/>
        </w:trPr>
        <w:tc>
          <w:tcPr>
            <w:tcW w:w="10525" w:type="dxa"/>
            <w:gridSpan w:val="2"/>
            <w:tcBorders>
              <w:top w:val="nil"/>
              <w:left w:val="nil"/>
              <w:bottom w:val="nil"/>
              <w:right w:val="nil"/>
            </w:tcBorders>
          </w:tcPr>
          <w:p w14:paraId="2A6F8A5A"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Società di persone</w:t>
            </w:r>
          </w:p>
        </w:tc>
      </w:tr>
      <w:tr w:rsidR="003D4BD1" w14:paraId="0494C04F" w14:textId="77777777" w:rsidTr="00107D84">
        <w:trPr>
          <w:trHeight w:val="255"/>
        </w:trPr>
        <w:tc>
          <w:tcPr>
            <w:tcW w:w="3760" w:type="dxa"/>
            <w:tcBorders>
              <w:top w:val="single" w:sz="4" w:space="0" w:color="000000"/>
              <w:left w:val="single" w:sz="4" w:space="0" w:color="000000"/>
              <w:bottom w:val="single" w:sz="4" w:space="0" w:color="000000"/>
              <w:right w:val="single" w:sz="4" w:space="0" w:color="000000"/>
            </w:tcBorders>
          </w:tcPr>
          <w:p w14:paraId="797C5903"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p>
        </w:tc>
        <w:tc>
          <w:tcPr>
            <w:tcW w:w="6765" w:type="dxa"/>
            <w:tcBorders>
              <w:top w:val="single" w:sz="4" w:space="0" w:color="000000"/>
              <w:left w:val="nil"/>
              <w:bottom w:val="single" w:sz="4" w:space="0" w:color="000000"/>
              <w:right w:val="single" w:sz="4" w:space="0" w:color="000000"/>
            </w:tcBorders>
          </w:tcPr>
          <w:p w14:paraId="326FC2E6" w14:textId="77777777" w:rsidR="003D4BD1" w:rsidRDefault="003D4BD1" w:rsidP="00107D84">
            <w:pPr>
              <w:pBdr>
                <w:top w:val="nil"/>
                <w:left w:val="nil"/>
                <w:bottom w:val="nil"/>
                <w:right w:val="nil"/>
                <w:between w:val="nil"/>
              </w:pBdr>
              <w:spacing w:line="240" w:lineRule="auto"/>
              <w:ind w:left="0" w:hanging="2"/>
              <w:rPr>
                <w:rFonts w:ascii="Calibri" w:eastAsia="Calibri" w:hAnsi="Calibri" w:cs="Calibri"/>
                <w:color w:val="330033"/>
                <w:sz w:val="20"/>
                <w:szCs w:val="20"/>
              </w:rPr>
            </w:pPr>
          </w:p>
        </w:tc>
      </w:tr>
    </w:tbl>
    <w:p w14:paraId="6345B9F2" w14:textId="77777777" w:rsidR="003D4BD1" w:rsidRPr="00B208AC" w:rsidRDefault="003D4BD1" w:rsidP="00B208AC">
      <w:pPr>
        <w:pBdr>
          <w:top w:val="nil"/>
          <w:left w:val="nil"/>
          <w:bottom w:val="nil"/>
          <w:right w:val="nil"/>
          <w:between w:val="nil"/>
        </w:pBdr>
        <w:spacing w:line="300" w:lineRule="atLeast"/>
        <w:ind w:left="0" w:hanging="2"/>
        <w:jc w:val="both"/>
        <w:rPr>
          <w:rFonts w:ascii="Arial" w:eastAsia="Arial" w:hAnsi="Arial" w:cs="Arial"/>
          <w:color w:val="000000"/>
          <w:sz w:val="20"/>
          <w:szCs w:val="20"/>
        </w:rPr>
      </w:pPr>
    </w:p>
    <w:p w14:paraId="3B460965" w14:textId="238A9F8E" w:rsidR="003D4BD1" w:rsidRPr="00B208AC" w:rsidRDefault="00B208AC" w:rsidP="00B208AC">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B208AC">
        <w:rPr>
          <w:rFonts w:ascii="Calibri" w:hAnsi="Calibri" w:cs="Arial"/>
          <w:color w:val="0F0F0F"/>
          <w:sz w:val="20"/>
          <w:szCs w:val="20"/>
        </w:rPr>
        <w:t>IRPEF</w:t>
      </w:r>
    </w:p>
    <w:p w14:paraId="5BDB6828" w14:textId="2415BBA1" w:rsidR="006A72D7" w:rsidRPr="00B208AC" w:rsidRDefault="006A72D7"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B208AC">
        <w:rPr>
          <w:rFonts w:ascii="Arial" w:eastAsia="Arial" w:hAnsi="Arial" w:cs="Arial"/>
          <w:b/>
          <w:bCs/>
          <w:color w:val="000000"/>
          <w:sz w:val="20"/>
          <w:szCs w:val="20"/>
        </w:rPr>
        <w:lastRenderedPageBreak/>
        <w:t xml:space="preserve">Rimborsi spese analitici </w:t>
      </w:r>
      <w:r w:rsidR="00281492" w:rsidRPr="00B208AC">
        <w:rPr>
          <w:rFonts w:ascii="Arial" w:eastAsia="Arial" w:hAnsi="Arial" w:cs="Arial"/>
          <w:b/>
          <w:bCs/>
          <w:color w:val="000000"/>
          <w:sz w:val="20"/>
          <w:szCs w:val="20"/>
        </w:rPr>
        <w:t>p</w:t>
      </w:r>
      <w:r w:rsidRPr="00B208AC">
        <w:rPr>
          <w:rFonts w:ascii="Arial" w:eastAsia="Arial" w:hAnsi="Arial" w:cs="Arial"/>
          <w:b/>
          <w:bCs/>
          <w:color w:val="000000"/>
          <w:sz w:val="20"/>
          <w:szCs w:val="20"/>
        </w:rPr>
        <w:t>rofessionisti: dal 2025 fuori dai compensi</w:t>
      </w:r>
    </w:p>
    <w:p w14:paraId="73247758" w14:textId="66A5FADB" w:rsidR="006A72D7" w:rsidRPr="00B208AC" w:rsidRDefault="006A72D7"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B208AC">
        <w:rPr>
          <w:rFonts w:ascii="Arial" w:eastAsia="Arial" w:hAnsi="Arial" w:cs="Arial"/>
          <w:color w:val="000000"/>
          <w:sz w:val="20"/>
          <w:szCs w:val="20"/>
        </w:rPr>
        <w:t>A partire dal</w:t>
      </w:r>
      <w:r w:rsidR="00B208AC">
        <w:rPr>
          <w:rFonts w:ascii="Arial" w:eastAsia="Arial" w:hAnsi="Arial" w:cs="Arial"/>
          <w:color w:val="000000"/>
          <w:sz w:val="20"/>
          <w:szCs w:val="20"/>
        </w:rPr>
        <w:t xml:space="preserve"> </w:t>
      </w:r>
      <w:r w:rsidRPr="00B208AC">
        <w:rPr>
          <w:rFonts w:ascii="Arial" w:eastAsia="Arial" w:hAnsi="Arial" w:cs="Arial"/>
          <w:b/>
          <w:bCs/>
          <w:color w:val="000000"/>
          <w:sz w:val="20"/>
          <w:szCs w:val="20"/>
        </w:rPr>
        <w:t>1° gennaio 2025</w:t>
      </w:r>
      <w:r w:rsidR="00B208AC">
        <w:rPr>
          <w:rFonts w:ascii="Arial" w:eastAsia="Arial" w:hAnsi="Arial" w:cs="Arial"/>
          <w:color w:val="000000"/>
          <w:sz w:val="20"/>
          <w:szCs w:val="20"/>
        </w:rPr>
        <w:t xml:space="preserve"> </w:t>
      </w:r>
      <w:r w:rsidRPr="00B208AC">
        <w:rPr>
          <w:rFonts w:ascii="Arial" w:eastAsia="Arial" w:hAnsi="Arial" w:cs="Arial"/>
          <w:color w:val="000000"/>
          <w:sz w:val="20"/>
          <w:szCs w:val="20"/>
        </w:rPr>
        <w:t>è cambiato radicalmente il trattamento dei rimborsi spese per i professionisti, con un impatto particolarmente positivo per chi opera in</w:t>
      </w:r>
      <w:r w:rsidR="00B208AC">
        <w:rPr>
          <w:rFonts w:ascii="Arial" w:eastAsia="Arial" w:hAnsi="Arial" w:cs="Arial"/>
          <w:color w:val="000000"/>
          <w:sz w:val="20"/>
          <w:szCs w:val="20"/>
        </w:rPr>
        <w:t xml:space="preserve"> </w:t>
      </w:r>
      <w:r w:rsidRPr="00B208AC">
        <w:rPr>
          <w:rFonts w:ascii="Arial" w:eastAsia="Arial" w:hAnsi="Arial" w:cs="Arial"/>
          <w:b/>
          <w:bCs/>
          <w:color w:val="000000"/>
          <w:sz w:val="20"/>
          <w:szCs w:val="20"/>
        </w:rPr>
        <w:t>regime forfetario</w:t>
      </w:r>
      <w:r w:rsidRPr="00B208AC">
        <w:rPr>
          <w:rFonts w:ascii="Arial" w:eastAsia="Arial" w:hAnsi="Arial" w:cs="Arial"/>
          <w:color w:val="000000"/>
          <w:sz w:val="20"/>
          <w:szCs w:val="20"/>
        </w:rPr>
        <w:t>.</w:t>
      </w:r>
    </w:p>
    <w:p w14:paraId="59036F4A" w14:textId="2E2F4137" w:rsidR="006A72D7" w:rsidRPr="00B208AC" w:rsidRDefault="006A72D7"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B208AC">
        <w:rPr>
          <w:rFonts w:ascii="Arial" w:eastAsia="Arial" w:hAnsi="Arial" w:cs="Arial"/>
          <w:color w:val="000000"/>
          <w:sz w:val="20"/>
          <w:szCs w:val="20"/>
        </w:rPr>
        <w:t>La modifica chiave è contenuta nell’art</w:t>
      </w:r>
      <w:r w:rsidR="00B208AC">
        <w:rPr>
          <w:rFonts w:ascii="Arial" w:eastAsia="Arial" w:hAnsi="Arial" w:cs="Arial"/>
          <w:color w:val="000000"/>
          <w:sz w:val="20"/>
          <w:szCs w:val="20"/>
        </w:rPr>
        <w:t>.</w:t>
      </w:r>
      <w:r w:rsidRPr="00B208AC">
        <w:rPr>
          <w:rFonts w:ascii="Arial" w:eastAsia="Arial" w:hAnsi="Arial" w:cs="Arial"/>
          <w:color w:val="000000"/>
          <w:sz w:val="20"/>
          <w:szCs w:val="20"/>
        </w:rPr>
        <w:t xml:space="preserve"> 54 del TUIR</w:t>
      </w:r>
      <w:r w:rsidR="00B208AC">
        <w:rPr>
          <w:rFonts w:ascii="Arial" w:eastAsia="Arial" w:hAnsi="Arial" w:cs="Arial"/>
          <w:color w:val="000000"/>
          <w:sz w:val="20"/>
          <w:szCs w:val="20"/>
        </w:rPr>
        <w:t xml:space="preserve"> </w:t>
      </w:r>
      <w:r w:rsidRPr="00B208AC">
        <w:rPr>
          <w:rFonts w:ascii="Arial" w:eastAsia="Arial" w:hAnsi="Arial" w:cs="Arial"/>
          <w:color w:val="000000"/>
          <w:sz w:val="20"/>
          <w:szCs w:val="20"/>
        </w:rPr>
        <w:t>che stabilisce che, dal 1° gennaio 2025, le somme percepite da un professionista come</w:t>
      </w:r>
      <w:r w:rsidR="00B208AC">
        <w:rPr>
          <w:rFonts w:ascii="Arial" w:eastAsia="Arial" w:hAnsi="Arial" w:cs="Arial"/>
          <w:color w:val="000000"/>
          <w:sz w:val="20"/>
          <w:szCs w:val="20"/>
        </w:rPr>
        <w:t xml:space="preserve"> </w:t>
      </w:r>
      <w:r w:rsidRPr="00B208AC">
        <w:rPr>
          <w:rFonts w:ascii="Arial" w:eastAsia="Arial" w:hAnsi="Arial" w:cs="Arial"/>
          <w:b/>
          <w:bCs/>
          <w:color w:val="000000"/>
          <w:sz w:val="20"/>
          <w:szCs w:val="20"/>
        </w:rPr>
        <w:t xml:space="preserve">rimborso per spese sostenute in nome e per conto del cliente </w:t>
      </w:r>
      <w:r w:rsidRPr="00B208AC">
        <w:rPr>
          <w:rFonts w:ascii="Arial" w:eastAsia="Arial" w:hAnsi="Arial" w:cs="Arial"/>
          <w:color w:val="000000"/>
          <w:sz w:val="20"/>
          <w:szCs w:val="20"/>
        </w:rPr>
        <w:t>non concorrono più a formare il reddito imponibile.</w:t>
      </w:r>
    </w:p>
    <w:p w14:paraId="73D1618A" w14:textId="516B3B62" w:rsidR="006A72D7" w:rsidRPr="00B208AC" w:rsidRDefault="006A72D7"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B208AC">
        <w:rPr>
          <w:rFonts w:ascii="Arial" w:eastAsia="Arial" w:hAnsi="Arial" w:cs="Arial"/>
          <w:color w:val="000000"/>
          <w:sz w:val="20"/>
          <w:szCs w:val="20"/>
        </w:rPr>
        <w:t>I benefici per i professionisti, e in particolare per quelli in regime forfetario, sono due:</w:t>
      </w:r>
    </w:p>
    <w:p w14:paraId="4297EE68" w14:textId="0C698AFC" w:rsidR="006A72D7" w:rsidRPr="00B208AC" w:rsidRDefault="006A72D7" w:rsidP="009C475F">
      <w:pPr>
        <w:pStyle w:val="Paragrafoelenco"/>
        <w:numPr>
          <w:ilvl w:val="0"/>
          <w:numId w:val="4"/>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208AC">
        <w:rPr>
          <w:rFonts w:ascii="Arial" w:eastAsia="Arial" w:hAnsi="Arial" w:cs="Arial"/>
          <w:color w:val="000000"/>
          <w:sz w:val="20"/>
          <w:szCs w:val="20"/>
        </w:rPr>
        <w:t>il primo è che poiché i rimborsi analitici sono esclusi dal calcolo dei compensi, la base imponibile forfetaria si riduce e questo si traduce in un</w:t>
      </w:r>
      <w:r w:rsidR="00B208AC">
        <w:rPr>
          <w:rFonts w:ascii="Arial" w:eastAsia="Arial" w:hAnsi="Arial" w:cs="Arial"/>
          <w:color w:val="000000"/>
          <w:sz w:val="20"/>
          <w:szCs w:val="20"/>
        </w:rPr>
        <w:t xml:space="preserve"> </w:t>
      </w:r>
      <w:r w:rsidRPr="00B208AC">
        <w:rPr>
          <w:rFonts w:ascii="Arial" w:eastAsia="Arial" w:hAnsi="Arial" w:cs="Arial"/>
          <w:b/>
          <w:bCs/>
          <w:color w:val="000000"/>
          <w:sz w:val="20"/>
          <w:szCs w:val="20"/>
        </w:rPr>
        <w:t>risparmio d’imposta diretto</w:t>
      </w:r>
      <w:r w:rsidR="00B208AC">
        <w:rPr>
          <w:rFonts w:ascii="Arial" w:eastAsia="Arial" w:hAnsi="Arial" w:cs="Arial"/>
          <w:color w:val="000000"/>
          <w:sz w:val="20"/>
          <w:szCs w:val="20"/>
        </w:rPr>
        <w:t>;</w:t>
      </w:r>
    </w:p>
    <w:p w14:paraId="47956628" w14:textId="29BCF837" w:rsidR="006A72D7" w:rsidRPr="00B208AC" w:rsidRDefault="006A72D7" w:rsidP="009C475F">
      <w:pPr>
        <w:pStyle w:val="Paragrafoelenco"/>
        <w:numPr>
          <w:ilvl w:val="0"/>
          <w:numId w:val="4"/>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B208AC">
        <w:rPr>
          <w:rFonts w:ascii="Arial" w:eastAsia="Arial" w:hAnsi="Arial" w:cs="Arial"/>
          <w:color w:val="000000"/>
          <w:sz w:val="20"/>
          <w:szCs w:val="20"/>
        </w:rPr>
        <w:t>il secondo riguarda le soglie di accesso e permanenza nel regime forfetario. Poiché i rimborsi spese analitici non sono più qualificabili come “compensi”, si ritiene che</w:t>
      </w:r>
      <w:r w:rsidR="00B208AC">
        <w:rPr>
          <w:rFonts w:ascii="Arial" w:eastAsia="Arial" w:hAnsi="Arial" w:cs="Arial"/>
          <w:color w:val="000000"/>
          <w:sz w:val="20"/>
          <w:szCs w:val="20"/>
        </w:rPr>
        <w:t xml:space="preserve"> </w:t>
      </w:r>
      <w:r w:rsidRPr="00B208AC">
        <w:rPr>
          <w:rFonts w:ascii="Arial" w:eastAsia="Arial" w:hAnsi="Arial" w:cs="Arial"/>
          <w:b/>
          <w:bCs/>
          <w:color w:val="000000"/>
          <w:sz w:val="20"/>
          <w:szCs w:val="20"/>
        </w:rPr>
        <w:t>non debbano più essere inclusi nel conteggio</w:t>
      </w:r>
      <w:r w:rsidR="00B208AC" w:rsidRPr="00B208AC">
        <w:rPr>
          <w:rFonts w:ascii="Arial" w:eastAsia="Arial" w:hAnsi="Arial" w:cs="Arial"/>
          <w:b/>
          <w:bCs/>
          <w:color w:val="000000"/>
          <w:sz w:val="20"/>
          <w:szCs w:val="20"/>
        </w:rPr>
        <w:t xml:space="preserve"> </w:t>
      </w:r>
      <w:r w:rsidRPr="00B208AC">
        <w:rPr>
          <w:rFonts w:ascii="Arial" w:eastAsia="Arial" w:hAnsi="Arial" w:cs="Arial"/>
          <w:b/>
          <w:bCs/>
          <w:color w:val="000000"/>
          <w:sz w:val="20"/>
          <w:szCs w:val="20"/>
        </w:rPr>
        <w:t>per la verifica delle soglie</w:t>
      </w:r>
      <w:r w:rsidRPr="00B208AC">
        <w:rPr>
          <w:rFonts w:ascii="Arial" w:eastAsia="Arial" w:hAnsi="Arial" w:cs="Arial"/>
          <w:color w:val="000000"/>
          <w:sz w:val="20"/>
          <w:szCs w:val="20"/>
        </w:rPr>
        <w:t xml:space="preserve"> </w:t>
      </w:r>
      <w:r w:rsidRPr="00943C01">
        <w:rPr>
          <w:rFonts w:ascii="Arial" w:eastAsia="Arial" w:hAnsi="Arial" w:cs="Arial"/>
          <w:color w:val="000000"/>
          <w:sz w:val="20"/>
          <w:szCs w:val="20"/>
        </w:rPr>
        <w:t>(85.000</w:t>
      </w:r>
      <w:r w:rsidR="00943C01">
        <w:rPr>
          <w:rFonts w:ascii="Arial" w:eastAsia="Arial" w:hAnsi="Arial" w:cs="Arial"/>
          <w:color w:val="000000"/>
          <w:sz w:val="20"/>
          <w:szCs w:val="20"/>
        </w:rPr>
        <w:t xml:space="preserve"> </w:t>
      </w:r>
      <w:r w:rsidRPr="00943C01">
        <w:rPr>
          <w:rFonts w:ascii="Arial" w:eastAsia="Arial" w:hAnsi="Arial" w:cs="Arial"/>
          <w:color w:val="000000"/>
          <w:sz w:val="20"/>
          <w:szCs w:val="20"/>
        </w:rPr>
        <w:t>euro per rimanere nel regime nell’anno successivo e</w:t>
      </w:r>
      <w:r w:rsidR="00943C01">
        <w:rPr>
          <w:rFonts w:ascii="Arial" w:eastAsia="Arial" w:hAnsi="Arial" w:cs="Arial"/>
          <w:color w:val="000000"/>
          <w:sz w:val="20"/>
          <w:szCs w:val="20"/>
        </w:rPr>
        <w:t xml:space="preserve"> </w:t>
      </w:r>
      <w:r w:rsidRPr="00943C01">
        <w:rPr>
          <w:rFonts w:ascii="Arial" w:eastAsia="Arial" w:hAnsi="Arial" w:cs="Arial"/>
          <w:color w:val="000000"/>
          <w:sz w:val="20"/>
          <w:szCs w:val="20"/>
        </w:rPr>
        <w:t>100.000</w:t>
      </w:r>
      <w:r w:rsidR="00943C01">
        <w:rPr>
          <w:rFonts w:ascii="Arial" w:eastAsia="Arial" w:hAnsi="Arial" w:cs="Arial"/>
          <w:color w:val="000000"/>
          <w:sz w:val="20"/>
          <w:szCs w:val="20"/>
        </w:rPr>
        <w:t xml:space="preserve"> </w:t>
      </w:r>
      <w:r w:rsidRPr="00943C01">
        <w:rPr>
          <w:rFonts w:ascii="Arial" w:eastAsia="Arial" w:hAnsi="Arial" w:cs="Arial"/>
          <w:color w:val="000000"/>
          <w:sz w:val="20"/>
          <w:szCs w:val="20"/>
        </w:rPr>
        <w:t>euro per non essere esclusi imme</w:t>
      </w:r>
      <w:r w:rsidRPr="00B208AC">
        <w:rPr>
          <w:rFonts w:ascii="Arial" w:eastAsia="Arial" w:hAnsi="Arial" w:cs="Arial"/>
          <w:color w:val="000000"/>
          <w:sz w:val="20"/>
          <w:szCs w:val="20"/>
        </w:rPr>
        <w:t>diatamente dal regime in corso d’anno).</w:t>
      </w:r>
    </w:p>
    <w:p w14:paraId="344BC6EA" w14:textId="664EA6B7" w:rsidR="006A72D7" w:rsidRPr="00B208AC" w:rsidRDefault="00943C01" w:rsidP="00B208AC">
      <w:pPr>
        <w:pBdr>
          <w:top w:val="nil"/>
          <w:left w:val="nil"/>
          <w:bottom w:val="nil"/>
          <w:right w:val="nil"/>
          <w:between w:val="nil"/>
        </w:pBdr>
        <w:tabs>
          <w:tab w:val="left" w:pos="2160"/>
          <w:tab w:val="left" w:pos="3168"/>
          <w:tab w:val="left" w:pos="4838"/>
        </w:tabs>
        <w:spacing w:line="300" w:lineRule="atLeast"/>
        <w:ind w:leftChars="0" w:left="0" w:firstLineChars="0" w:firstLine="0"/>
        <w:jc w:val="both"/>
        <w:rPr>
          <w:rFonts w:ascii="Arial" w:eastAsia="Arial" w:hAnsi="Arial" w:cs="Arial"/>
          <w:color w:val="000000"/>
          <w:sz w:val="20"/>
          <w:szCs w:val="20"/>
        </w:rPr>
      </w:pPr>
      <w:r w:rsidRPr="00943C01">
        <w:rPr>
          <w:rFonts w:ascii="Arial" w:eastAsia="Arial" w:hAnsi="Arial" w:cs="Arial"/>
          <w:color w:val="000000"/>
          <w:sz w:val="20"/>
          <w:szCs w:val="20"/>
        </w:rPr>
        <w:t>I</w:t>
      </w:r>
      <w:r w:rsidR="006A72D7" w:rsidRPr="00943C01">
        <w:rPr>
          <w:rFonts w:ascii="Arial" w:eastAsia="Arial" w:hAnsi="Arial" w:cs="Arial"/>
          <w:color w:val="000000"/>
          <w:sz w:val="20"/>
          <w:szCs w:val="20"/>
        </w:rPr>
        <w:t>l</w:t>
      </w:r>
      <w:r w:rsidR="006A72D7" w:rsidRPr="00B208AC">
        <w:rPr>
          <w:rFonts w:ascii="Arial" w:eastAsia="Arial" w:hAnsi="Arial" w:cs="Arial"/>
          <w:color w:val="000000"/>
          <w:sz w:val="20"/>
          <w:szCs w:val="20"/>
        </w:rPr>
        <w:t xml:space="preserve"> principio vale </w:t>
      </w:r>
      <w:r>
        <w:rPr>
          <w:rFonts w:ascii="Arial" w:eastAsia="Arial" w:hAnsi="Arial" w:cs="Arial"/>
          <w:color w:val="000000"/>
          <w:sz w:val="20"/>
          <w:szCs w:val="20"/>
        </w:rPr>
        <w:t xml:space="preserve">però </w:t>
      </w:r>
      <w:r w:rsidR="006A72D7" w:rsidRPr="00943C01">
        <w:rPr>
          <w:rFonts w:ascii="Arial" w:eastAsia="Arial" w:hAnsi="Arial" w:cs="Arial"/>
          <w:b/>
          <w:bCs/>
          <w:color w:val="000000"/>
          <w:sz w:val="20"/>
          <w:szCs w:val="20"/>
        </w:rPr>
        <w:t>solo per i</w:t>
      </w:r>
      <w:r w:rsidRPr="00943C01">
        <w:rPr>
          <w:rFonts w:ascii="Arial" w:eastAsia="Arial" w:hAnsi="Arial" w:cs="Arial"/>
          <w:b/>
          <w:bCs/>
          <w:color w:val="000000"/>
          <w:sz w:val="20"/>
          <w:szCs w:val="20"/>
        </w:rPr>
        <w:t xml:space="preserve"> </w:t>
      </w:r>
      <w:r w:rsidR="006A72D7" w:rsidRPr="00943C01">
        <w:rPr>
          <w:rFonts w:ascii="Arial" w:eastAsia="Arial" w:hAnsi="Arial" w:cs="Arial"/>
          <w:b/>
          <w:bCs/>
          <w:color w:val="000000"/>
          <w:sz w:val="20"/>
          <w:szCs w:val="20"/>
        </w:rPr>
        <w:t>rimbor</w:t>
      </w:r>
      <w:r w:rsidR="006A72D7" w:rsidRPr="00B208AC">
        <w:rPr>
          <w:rFonts w:ascii="Arial" w:eastAsia="Arial" w:hAnsi="Arial" w:cs="Arial"/>
          <w:b/>
          <w:bCs/>
          <w:color w:val="000000"/>
          <w:sz w:val="20"/>
          <w:szCs w:val="20"/>
        </w:rPr>
        <w:t>si analitici</w:t>
      </w:r>
      <w:r w:rsidR="006A72D7" w:rsidRPr="00B208AC">
        <w:rPr>
          <w:rFonts w:ascii="Arial" w:eastAsia="Arial" w:hAnsi="Arial" w:cs="Arial"/>
          <w:color w:val="000000"/>
          <w:sz w:val="20"/>
          <w:szCs w:val="20"/>
        </w:rPr>
        <w:t>, ovvero quelli in cui la spesa viene addebitata analiticamente al cliente per il suo importo esatto e documentato. Non si applica ai rimborsi forfetari che continuano ad essere considerati compensi.</w:t>
      </w:r>
    </w:p>
    <w:p w14:paraId="34DDD3D0" w14:textId="77777777" w:rsidR="0093709F" w:rsidRPr="00B208AC" w:rsidRDefault="0093709F"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3D13AF79" w14:textId="77777777" w:rsidR="0093709F" w:rsidRPr="00B208AC" w:rsidRDefault="0093709F" w:rsidP="00B208AC">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tbl>
      <w:tblPr>
        <w:tblStyle w:val="a8"/>
        <w:tblW w:w="10625" w:type="dxa"/>
        <w:tblInd w:w="0" w:type="dxa"/>
        <w:tblLayout w:type="fixed"/>
        <w:tblLook w:val="0000" w:firstRow="0" w:lastRow="0" w:firstColumn="0" w:lastColumn="0" w:noHBand="0" w:noVBand="0"/>
      </w:tblPr>
      <w:tblGrid>
        <w:gridCol w:w="3700"/>
        <w:gridCol w:w="1120"/>
        <w:gridCol w:w="5805"/>
      </w:tblGrid>
      <w:tr w:rsidR="0093709F" w14:paraId="1DAEEA44" w14:textId="77777777">
        <w:trPr>
          <w:trHeight w:val="255"/>
        </w:trPr>
        <w:tc>
          <w:tcPr>
            <w:tcW w:w="10625" w:type="dxa"/>
            <w:gridSpan w:val="3"/>
            <w:tcBorders>
              <w:top w:val="nil"/>
              <w:left w:val="nil"/>
              <w:bottom w:val="nil"/>
              <w:right w:val="nil"/>
            </w:tcBorders>
          </w:tcPr>
          <w:p w14:paraId="373F97CA" w14:textId="77777777" w:rsidR="0093709F" w:rsidRDefault="0093709F">
            <w:pPr>
              <w:pBdr>
                <w:top w:val="nil"/>
                <w:left w:val="nil"/>
                <w:bottom w:val="nil"/>
                <w:right w:val="nil"/>
                <w:between w:val="nil"/>
              </w:pBdr>
              <w:spacing w:line="240" w:lineRule="auto"/>
              <w:ind w:left="0" w:hanging="2"/>
              <w:rPr>
                <w:rFonts w:ascii="Calibri" w:eastAsia="Calibri" w:hAnsi="Calibri" w:cs="Calibri"/>
                <w:color w:val="330033"/>
                <w:sz w:val="20"/>
                <w:szCs w:val="20"/>
              </w:rPr>
            </w:pPr>
          </w:p>
        </w:tc>
      </w:tr>
      <w:tr w:rsidR="0093709F" w14:paraId="5FE3FDEA" w14:textId="77777777">
        <w:trPr>
          <w:trHeight w:val="255"/>
        </w:trPr>
        <w:tc>
          <w:tcPr>
            <w:tcW w:w="10625" w:type="dxa"/>
            <w:gridSpan w:val="3"/>
            <w:tcBorders>
              <w:top w:val="nil"/>
              <w:left w:val="nil"/>
              <w:bottom w:val="nil"/>
              <w:right w:val="nil"/>
            </w:tcBorders>
          </w:tcPr>
          <w:p w14:paraId="5A5DE9ED"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Condomini</w:t>
            </w:r>
          </w:p>
        </w:tc>
      </w:tr>
      <w:tr w:rsidR="0093709F" w14:paraId="7AA854A2" w14:textId="77777777">
        <w:trPr>
          <w:trHeight w:val="255"/>
        </w:trPr>
        <w:tc>
          <w:tcPr>
            <w:tcW w:w="10625" w:type="dxa"/>
            <w:gridSpan w:val="3"/>
            <w:tcBorders>
              <w:top w:val="nil"/>
              <w:left w:val="nil"/>
              <w:bottom w:val="nil"/>
              <w:right w:val="nil"/>
            </w:tcBorders>
          </w:tcPr>
          <w:p w14:paraId="4890EB86"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 xml:space="preserve">Enti </w:t>
            </w:r>
            <w:proofErr w:type="spellStart"/>
            <w:r w:rsidRPr="00FE4ACF">
              <w:rPr>
                <w:rFonts w:ascii="Calibri" w:eastAsia="Calibri" w:hAnsi="Calibri" w:cs="Calibri"/>
                <w:color w:val="330033"/>
                <w:sz w:val="20"/>
                <w:szCs w:val="20"/>
              </w:rPr>
              <w:t>no</w:t>
            </w:r>
            <w:proofErr w:type="spellEnd"/>
            <w:r w:rsidRPr="00FE4ACF">
              <w:rPr>
                <w:rFonts w:ascii="Calibri" w:eastAsia="Calibri" w:hAnsi="Calibri" w:cs="Calibri"/>
                <w:color w:val="330033"/>
                <w:sz w:val="20"/>
                <w:szCs w:val="20"/>
              </w:rPr>
              <w:t xml:space="preserve"> profit</w:t>
            </w:r>
          </w:p>
        </w:tc>
      </w:tr>
      <w:tr w:rsidR="0093709F" w14:paraId="4090E6FD" w14:textId="77777777">
        <w:trPr>
          <w:trHeight w:val="255"/>
        </w:trPr>
        <w:tc>
          <w:tcPr>
            <w:tcW w:w="10625" w:type="dxa"/>
            <w:gridSpan w:val="3"/>
            <w:tcBorders>
              <w:top w:val="nil"/>
              <w:left w:val="nil"/>
              <w:bottom w:val="nil"/>
              <w:right w:val="nil"/>
            </w:tcBorders>
          </w:tcPr>
          <w:p w14:paraId="26C3CCB4"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Imprese</w:t>
            </w:r>
          </w:p>
        </w:tc>
      </w:tr>
      <w:tr w:rsidR="0093709F" w14:paraId="4A02713A" w14:textId="77777777">
        <w:trPr>
          <w:trHeight w:val="255"/>
        </w:trPr>
        <w:tc>
          <w:tcPr>
            <w:tcW w:w="10625" w:type="dxa"/>
            <w:gridSpan w:val="3"/>
            <w:tcBorders>
              <w:top w:val="nil"/>
              <w:left w:val="nil"/>
              <w:bottom w:val="nil"/>
              <w:right w:val="nil"/>
            </w:tcBorders>
          </w:tcPr>
          <w:p w14:paraId="11FA4A56"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Lavoratori autonomi</w:t>
            </w:r>
          </w:p>
        </w:tc>
      </w:tr>
      <w:tr w:rsidR="0093709F" w14:paraId="5AABD046" w14:textId="77777777">
        <w:trPr>
          <w:trHeight w:val="255"/>
        </w:trPr>
        <w:tc>
          <w:tcPr>
            <w:tcW w:w="10625" w:type="dxa"/>
            <w:gridSpan w:val="3"/>
            <w:tcBorders>
              <w:top w:val="nil"/>
              <w:left w:val="nil"/>
              <w:bottom w:val="nil"/>
              <w:right w:val="nil"/>
            </w:tcBorders>
          </w:tcPr>
          <w:p w14:paraId="5ABE8972"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FE4ACF">
              <w:rPr>
                <w:rFonts w:ascii="Calibri" w:eastAsia="Calibri" w:hAnsi="Calibri" w:cs="Calibri"/>
                <w:color w:val="330033"/>
                <w:sz w:val="20"/>
                <w:szCs w:val="20"/>
                <w:highlight w:val="green"/>
              </w:rPr>
              <w:t>Persone fisiche</w:t>
            </w:r>
          </w:p>
        </w:tc>
      </w:tr>
      <w:tr w:rsidR="0093709F" w14:paraId="2716C405" w14:textId="77777777">
        <w:trPr>
          <w:trHeight w:val="255"/>
        </w:trPr>
        <w:tc>
          <w:tcPr>
            <w:tcW w:w="10625" w:type="dxa"/>
            <w:gridSpan w:val="3"/>
            <w:tcBorders>
              <w:top w:val="nil"/>
              <w:left w:val="nil"/>
              <w:bottom w:val="nil"/>
              <w:right w:val="nil"/>
            </w:tcBorders>
          </w:tcPr>
          <w:p w14:paraId="0C6202EC"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Società di capitali</w:t>
            </w:r>
          </w:p>
        </w:tc>
      </w:tr>
      <w:tr w:rsidR="0093709F" w14:paraId="2BA342C5" w14:textId="77777777">
        <w:trPr>
          <w:trHeight w:val="255"/>
        </w:trPr>
        <w:tc>
          <w:tcPr>
            <w:tcW w:w="10625" w:type="dxa"/>
            <w:gridSpan w:val="3"/>
            <w:tcBorders>
              <w:top w:val="nil"/>
              <w:left w:val="nil"/>
              <w:bottom w:val="nil"/>
              <w:right w:val="nil"/>
            </w:tcBorders>
          </w:tcPr>
          <w:p w14:paraId="2F6AB4B5" w14:textId="77777777" w:rsidR="0093709F" w:rsidRPr="00FE4AC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FE4ACF">
              <w:rPr>
                <w:rFonts w:ascii="Calibri" w:eastAsia="Calibri" w:hAnsi="Calibri" w:cs="Calibri"/>
                <w:color w:val="330033"/>
                <w:sz w:val="20"/>
                <w:szCs w:val="20"/>
              </w:rPr>
              <w:t>Società di persone</w:t>
            </w:r>
          </w:p>
        </w:tc>
      </w:tr>
      <w:tr w:rsidR="0093709F" w14:paraId="756EB1B0" w14:textId="77777777">
        <w:trPr>
          <w:trHeight w:val="315"/>
        </w:trPr>
        <w:tc>
          <w:tcPr>
            <w:tcW w:w="3700" w:type="dxa"/>
            <w:tcBorders>
              <w:top w:val="single" w:sz="4" w:space="0" w:color="000000"/>
              <w:left w:val="single" w:sz="4" w:space="0" w:color="000000"/>
              <w:bottom w:val="single" w:sz="12" w:space="0" w:color="000000"/>
              <w:right w:val="single" w:sz="4" w:space="0" w:color="000000"/>
            </w:tcBorders>
          </w:tcPr>
          <w:p w14:paraId="31455031"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4B222C5C" w14:textId="77777777" w:rsidR="0093709F" w:rsidRDefault="0093709F">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790CA6FA"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32A3AA4B" w14:textId="77777777" w:rsidR="0093709F" w:rsidRDefault="0093709F"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167AE654" w14:textId="1C0C1B75" w:rsidR="00943C01" w:rsidRPr="00943C01" w:rsidRDefault="00943C01" w:rsidP="00943C01">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943C01">
        <w:rPr>
          <w:rFonts w:ascii="Calibri" w:hAnsi="Calibri" w:cs="Arial"/>
          <w:color w:val="0F0F0F"/>
          <w:sz w:val="20"/>
          <w:szCs w:val="20"/>
        </w:rPr>
        <w:t>AGEVOLAZIONI</w:t>
      </w:r>
    </w:p>
    <w:p w14:paraId="4301E649" w14:textId="77777777"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943C01">
        <w:rPr>
          <w:rFonts w:ascii="Arial" w:eastAsia="Arial" w:hAnsi="Arial" w:cs="Arial"/>
          <w:b/>
          <w:bCs/>
          <w:color w:val="000000"/>
          <w:sz w:val="20"/>
          <w:szCs w:val="20"/>
        </w:rPr>
        <w:t>Bonus elettrodomestici: al via le registrazioni di produttori e venditori</w:t>
      </w:r>
    </w:p>
    <w:p w14:paraId="2B574B28" w14:textId="688DDD6D" w:rsidR="00943C01" w:rsidRPr="00943C01" w:rsidRDefault="00943C01"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943C01">
        <w:rPr>
          <w:rFonts w:ascii="Arial" w:eastAsia="Arial" w:hAnsi="Arial" w:cs="Arial"/>
          <w:i/>
          <w:iCs/>
          <w:color w:val="000000"/>
          <w:sz w:val="20"/>
          <w:szCs w:val="20"/>
        </w:rPr>
        <w:t xml:space="preserve">Ministero delle Imprese e del Made in </w:t>
      </w:r>
      <w:proofErr w:type="spellStart"/>
      <w:r w:rsidRPr="00943C01">
        <w:rPr>
          <w:rFonts w:ascii="Arial" w:eastAsia="Arial" w:hAnsi="Arial" w:cs="Arial"/>
          <w:i/>
          <w:iCs/>
          <w:color w:val="000000"/>
          <w:sz w:val="20"/>
          <w:szCs w:val="20"/>
        </w:rPr>
        <w:t>Italy</w:t>
      </w:r>
      <w:proofErr w:type="spellEnd"/>
      <w:r w:rsidRPr="00943C01">
        <w:rPr>
          <w:rFonts w:ascii="Arial" w:eastAsia="Arial" w:hAnsi="Arial" w:cs="Arial"/>
          <w:i/>
          <w:iCs/>
          <w:color w:val="000000"/>
          <w:sz w:val="20"/>
          <w:szCs w:val="20"/>
        </w:rPr>
        <w:t xml:space="preserve">, </w:t>
      </w:r>
      <w:proofErr w:type="spellStart"/>
      <w:proofErr w:type="gramStart"/>
      <w:r w:rsidRPr="00943C01">
        <w:rPr>
          <w:rFonts w:ascii="Arial" w:eastAsia="Arial" w:hAnsi="Arial" w:cs="Arial"/>
          <w:i/>
          <w:iCs/>
          <w:color w:val="000000"/>
          <w:sz w:val="20"/>
          <w:szCs w:val="20"/>
        </w:rPr>
        <w:t>D.Dirett</w:t>
      </w:r>
      <w:proofErr w:type="spellEnd"/>
      <w:proofErr w:type="gramEnd"/>
      <w:r w:rsidRPr="00943C01">
        <w:rPr>
          <w:rFonts w:ascii="Arial" w:eastAsia="Arial" w:hAnsi="Arial" w:cs="Arial"/>
          <w:i/>
          <w:iCs/>
          <w:color w:val="000000"/>
          <w:sz w:val="20"/>
          <w:szCs w:val="20"/>
        </w:rPr>
        <w:t>. 22 ottobre 2025</w:t>
      </w:r>
    </w:p>
    <w:p w14:paraId="4A19C4DE" w14:textId="77777777" w:rsid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943C01">
        <w:rPr>
          <w:rFonts w:ascii="Arial" w:eastAsia="Arial" w:hAnsi="Arial" w:cs="Arial"/>
          <w:color w:val="000000"/>
          <w:sz w:val="20"/>
          <w:szCs w:val="20"/>
        </w:rPr>
        <w:t>Pubblicato il</w:t>
      </w:r>
      <w:r w:rsidR="00943C01">
        <w:rPr>
          <w:rFonts w:ascii="Arial" w:eastAsia="Arial" w:hAnsi="Arial" w:cs="Arial"/>
          <w:color w:val="000000"/>
          <w:sz w:val="20"/>
          <w:szCs w:val="20"/>
        </w:rPr>
        <w:t xml:space="preserve"> </w:t>
      </w:r>
      <w:r w:rsidRPr="00943C01">
        <w:rPr>
          <w:rFonts w:ascii="Arial" w:eastAsia="Arial" w:hAnsi="Arial" w:cs="Arial"/>
          <w:sz w:val="20"/>
          <w:szCs w:val="20"/>
        </w:rPr>
        <w:t>decreto del M</w:t>
      </w:r>
      <w:r w:rsidR="00943C01">
        <w:rPr>
          <w:rFonts w:ascii="Arial" w:eastAsia="Arial" w:hAnsi="Arial" w:cs="Arial"/>
          <w:sz w:val="20"/>
          <w:szCs w:val="20"/>
        </w:rPr>
        <w:t>IMIT</w:t>
      </w:r>
      <w:r w:rsidRPr="00943C01">
        <w:rPr>
          <w:rFonts w:ascii="Arial" w:eastAsia="Arial" w:hAnsi="Arial" w:cs="Arial"/>
          <w:sz w:val="20"/>
          <w:szCs w:val="20"/>
        </w:rPr>
        <w:t xml:space="preserve"> del 22 ottobre 2025</w:t>
      </w:r>
      <w:r w:rsidR="00943C01">
        <w:rPr>
          <w:rFonts w:ascii="Arial" w:eastAsia="Arial" w:hAnsi="Arial" w:cs="Arial"/>
          <w:color w:val="000000"/>
          <w:sz w:val="20"/>
          <w:szCs w:val="20"/>
        </w:rPr>
        <w:t xml:space="preserve"> </w:t>
      </w:r>
      <w:r w:rsidRPr="00943C01">
        <w:rPr>
          <w:rFonts w:ascii="Arial" w:eastAsia="Arial" w:hAnsi="Arial" w:cs="Arial"/>
          <w:color w:val="000000"/>
          <w:sz w:val="20"/>
          <w:szCs w:val="20"/>
        </w:rPr>
        <w:t xml:space="preserve">che rende operativo il contributo economico per l’acquisto di </w:t>
      </w:r>
      <w:r w:rsidRPr="00943C01">
        <w:rPr>
          <w:rFonts w:ascii="Arial" w:eastAsia="Arial" w:hAnsi="Arial" w:cs="Arial"/>
          <w:b/>
          <w:bCs/>
          <w:color w:val="000000"/>
          <w:sz w:val="20"/>
          <w:szCs w:val="20"/>
        </w:rPr>
        <w:t>elettrodomestici ad alta efficienza energetica</w:t>
      </w:r>
      <w:r w:rsidRPr="00943C01">
        <w:rPr>
          <w:rFonts w:ascii="Arial" w:eastAsia="Arial" w:hAnsi="Arial" w:cs="Arial"/>
          <w:color w:val="000000"/>
          <w:sz w:val="20"/>
          <w:szCs w:val="20"/>
        </w:rPr>
        <w:t>, introdotto per promuovere la sostenibilità e la transizione energetica.</w:t>
      </w:r>
    </w:p>
    <w:p w14:paraId="496C7021" w14:textId="45543F49"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943C01">
        <w:rPr>
          <w:rFonts w:ascii="Arial" w:eastAsia="Arial" w:hAnsi="Arial" w:cs="Arial"/>
          <w:color w:val="000000"/>
          <w:sz w:val="20"/>
          <w:szCs w:val="20"/>
        </w:rPr>
        <w:t>Il contributo è rivolto alle persone fisiche che sostituiscono elettrodomestici obsoleti, copre fino al 30% del costo di acquisto, con un massimale di 100 euro per famiglia anagrafica e</w:t>
      </w:r>
      <w:r w:rsidR="00943C01">
        <w:rPr>
          <w:rFonts w:ascii="Arial" w:eastAsia="Arial" w:hAnsi="Arial" w:cs="Arial"/>
          <w:color w:val="000000"/>
          <w:sz w:val="20"/>
          <w:szCs w:val="20"/>
        </w:rPr>
        <w:t xml:space="preserve"> </w:t>
      </w:r>
      <w:r w:rsidRPr="00943C01">
        <w:rPr>
          <w:rFonts w:ascii="Arial" w:eastAsia="Arial" w:hAnsi="Arial" w:cs="Arial"/>
          <w:color w:val="000000"/>
          <w:sz w:val="20"/>
          <w:szCs w:val="20"/>
        </w:rPr>
        <w:t>200 euro per famiglia anagrafica con ISEE inferiore a 25 mila euro annui.</w:t>
      </w:r>
    </w:p>
    <w:p w14:paraId="36E21D80" w14:textId="5774CB30"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943C01">
        <w:rPr>
          <w:rFonts w:ascii="Arial" w:eastAsia="Arial" w:hAnsi="Arial" w:cs="Arial"/>
          <w:color w:val="000000"/>
          <w:sz w:val="20"/>
          <w:szCs w:val="20"/>
        </w:rPr>
        <w:t>Per accedere al</w:t>
      </w:r>
      <w:r w:rsidR="00943C01">
        <w:rPr>
          <w:rFonts w:ascii="Arial" w:eastAsia="Arial" w:hAnsi="Arial" w:cs="Arial"/>
          <w:color w:val="000000"/>
          <w:sz w:val="20"/>
          <w:szCs w:val="20"/>
        </w:rPr>
        <w:t xml:space="preserve"> </w:t>
      </w:r>
      <w:r w:rsidR="00943C01" w:rsidRPr="00943C01">
        <w:rPr>
          <w:rFonts w:ascii="Arial" w:eastAsia="Arial" w:hAnsi="Arial" w:cs="Arial"/>
          <w:sz w:val="20"/>
          <w:szCs w:val="20"/>
        </w:rPr>
        <w:t>b</w:t>
      </w:r>
      <w:r w:rsidRPr="00943C01">
        <w:rPr>
          <w:rFonts w:ascii="Arial" w:eastAsia="Arial" w:hAnsi="Arial" w:cs="Arial"/>
          <w:sz w:val="20"/>
          <w:szCs w:val="20"/>
        </w:rPr>
        <w:t>onus elettrodomestici</w:t>
      </w:r>
      <w:r w:rsidR="00943C01" w:rsidRPr="00943C01">
        <w:rPr>
          <w:rFonts w:ascii="Arial" w:eastAsia="Arial" w:hAnsi="Arial" w:cs="Arial"/>
          <w:color w:val="000000"/>
          <w:sz w:val="20"/>
          <w:szCs w:val="20"/>
        </w:rPr>
        <w:t xml:space="preserve"> </w:t>
      </w:r>
      <w:r w:rsidRPr="00943C01">
        <w:rPr>
          <w:rFonts w:ascii="Arial" w:eastAsia="Arial" w:hAnsi="Arial" w:cs="Arial"/>
          <w:color w:val="000000"/>
          <w:sz w:val="20"/>
          <w:szCs w:val="20"/>
        </w:rPr>
        <w:t>è necessario consegnare al venditore un elettrodomestico della stessa tipologia e di classe energetica inferiore a quello agevolato che sarà correttamente smaltito in un’ottica di riciclo dei materiali.</w:t>
      </w:r>
    </w:p>
    <w:p w14:paraId="7402837C" w14:textId="77777777"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943C01">
        <w:rPr>
          <w:rFonts w:ascii="Arial" w:eastAsia="Arial" w:hAnsi="Arial" w:cs="Arial"/>
          <w:color w:val="000000"/>
          <w:sz w:val="20"/>
          <w:szCs w:val="20"/>
        </w:rPr>
        <w:t>Produttori e i venditori possono registrarsi sulla piattaforma dedicata, attiva dal 23 ottobre per i produttori e dal 27 ottobre per i venditori.</w:t>
      </w:r>
    </w:p>
    <w:p w14:paraId="6016802C" w14:textId="071F81CC"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D4768A">
        <w:rPr>
          <w:rFonts w:ascii="Arial" w:eastAsia="Arial" w:hAnsi="Arial" w:cs="Arial"/>
          <w:color w:val="000000"/>
          <w:sz w:val="20"/>
          <w:szCs w:val="20"/>
        </w:rPr>
        <w:t xml:space="preserve">La seconda </w:t>
      </w:r>
      <w:r w:rsidR="009C475F" w:rsidRPr="00D4768A">
        <w:rPr>
          <w:rFonts w:ascii="Arial" w:eastAsia="Arial" w:hAnsi="Arial" w:cs="Arial"/>
          <w:color w:val="000000"/>
          <w:sz w:val="20"/>
          <w:szCs w:val="20"/>
        </w:rPr>
        <w:t xml:space="preserve">piattaforma </w:t>
      </w:r>
      <w:r w:rsidRPr="00D4768A">
        <w:rPr>
          <w:rFonts w:ascii="Arial" w:eastAsia="Arial" w:hAnsi="Arial" w:cs="Arial"/>
          <w:color w:val="000000"/>
          <w:sz w:val="20"/>
          <w:szCs w:val="20"/>
        </w:rPr>
        <w:t>della misura sarà rivolta agli utenti finali che potranno presentare domanda di adesione</w:t>
      </w:r>
      <w:r w:rsidRPr="00943C01">
        <w:rPr>
          <w:rFonts w:ascii="Arial" w:eastAsia="Arial" w:hAnsi="Arial" w:cs="Arial"/>
          <w:color w:val="000000"/>
          <w:sz w:val="20"/>
          <w:szCs w:val="20"/>
        </w:rPr>
        <w:t xml:space="preserve"> tramite l’app IO o il sito web dedicato.</w:t>
      </w:r>
    </w:p>
    <w:p w14:paraId="51AB5873" w14:textId="77777777" w:rsidR="00206D4D" w:rsidRPr="00943C01" w:rsidRDefault="00206D4D"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227B700B" w14:textId="77777777" w:rsidR="0093709F" w:rsidRPr="00943C01" w:rsidRDefault="0093709F" w:rsidP="00943C01">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tbl>
      <w:tblPr>
        <w:tblStyle w:val="a9"/>
        <w:tblW w:w="10625" w:type="dxa"/>
        <w:tblInd w:w="0" w:type="dxa"/>
        <w:tblLayout w:type="fixed"/>
        <w:tblLook w:val="0000" w:firstRow="0" w:lastRow="0" w:firstColumn="0" w:lastColumn="0" w:noHBand="0" w:noVBand="0"/>
      </w:tblPr>
      <w:tblGrid>
        <w:gridCol w:w="3700"/>
        <w:gridCol w:w="1120"/>
        <w:gridCol w:w="5805"/>
      </w:tblGrid>
      <w:tr w:rsidR="0093709F" w14:paraId="55CFD0FF" w14:textId="77777777">
        <w:trPr>
          <w:trHeight w:val="255"/>
        </w:trPr>
        <w:tc>
          <w:tcPr>
            <w:tcW w:w="10625" w:type="dxa"/>
            <w:gridSpan w:val="3"/>
            <w:tcBorders>
              <w:top w:val="nil"/>
              <w:left w:val="nil"/>
              <w:bottom w:val="nil"/>
              <w:right w:val="nil"/>
            </w:tcBorders>
          </w:tcPr>
          <w:p w14:paraId="74860DE4"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93709F" w14:paraId="11864ECD" w14:textId="77777777">
        <w:trPr>
          <w:trHeight w:val="255"/>
        </w:trPr>
        <w:tc>
          <w:tcPr>
            <w:tcW w:w="10625" w:type="dxa"/>
            <w:gridSpan w:val="3"/>
            <w:tcBorders>
              <w:top w:val="nil"/>
              <w:left w:val="nil"/>
              <w:bottom w:val="nil"/>
              <w:right w:val="nil"/>
            </w:tcBorders>
          </w:tcPr>
          <w:p w14:paraId="2091B981"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Consorzi</w:t>
            </w:r>
          </w:p>
        </w:tc>
      </w:tr>
      <w:tr w:rsidR="0093709F" w14:paraId="088351B6" w14:textId="77777777">
        <w:trPr>
          <w:trHeight w:val="255"/>
        </w:trPr>
        <w:tc>
          <w:tcPr>
            <w:tcW w:w="10625" w:type="dxa"/>
            <w:gridSpan w:val="3"/>
            <w:tcBorders>
              <w:top w:val="nil"/>
              <w:left w:val="nil"/>
              <w:bottom w:val="nil"/>
              <w:right w:val="nil"/>
            </w:tcBorders>
          </w:tcPr>
          <w:p w14:paraId="6889C624"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Condomini</w:t>
            </w:r>
          </w:p>
        </w:tc>
      </w:tr>
      <w:tr w:rsidR="0093709F" w14:paraId="785E68B3" w14:textId="77777777">
        <w:trPr>
          <w:trHeight w:val="255"/>
        </w:trPr>
        <w:tc>
          <w:tcPr>
            <w:tcW w:w="10625" w:type="dxa"/>
            <w:gridSpan w:val="3"/>
            <w:tcBorders>
              <w:top w:val="nil"/>
              <w:left w:val="nil"/>
              <w:bottom w:val="nil"/>
              <w:right w:val="nil"/>
            </w:tcBorders>
          </w:tcPr>
          <w:p w14:paraId="30E2658C"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 xml:space="preserve">Enti </w:t>
            </w:r>
            <w:proofErr w:type="spellStart"/>
            <w:r w:rsidRPr="00D55F12">
              <w:rPr>
                <w:rFonts w:ascii="Calibri" w:eastAsia="Calibri" w:hAnsi="Calibri" w:cs="Calibri"/>
                <w:color w:val="330033"/>
                <w:sz w:val="20"/>
                <w:szCs w:val="20"/>
              </w:rPr>
              <w:t>no</w:t>
            </w:r>
            <w:proofErr w:type="spellEnd"/>
            <w:r w:rsidRPr="00D55F12">
              <w:rPr>
                <w:rFonts w:ascii="Calibri" w:eastAsia="Calibri" w:hAnsi="Calibri" w:cs="Calibri"/>
                <w:color w:val="330033"/>
                <w:sz w:val="20"/>
                <w:szCs w:val="20"/>
              </w:rPr>
              <w:t xml:space="preserve"> profit</w:t>
            </w:r>
          </w:p>
        </w:tc>
      </w:tr>
      <w:tr w:rsidR="0093709F" w14:paraId="2BDB99CF" w14:textId="77777777">
        <w:trPr>
          <w:trHeight w:val="255"/>
        </w:trPr>
        <w:tc>
          <w:tcPr>
            <w:tcW w:w="10625" w:type="dxa"/>
            <w:gridSpan w:val="3"/>
            <w:tcBorders>
              <w:top w:val="nil"/>
              <w:left w:val="nil"/>
              <w:bottom w:val="nil"/>
              <w:right w:val="nil"/>
            </w:tcBorders>
          </w:tcPr>
          <w:p w14:paraId="58E387BF"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Imprese</w:t>
            </w:r>
          </w:p>
        </w:tc>
      </w:tr>
      <w:tr w:rsidR="0093709F" w14:paraId="2E4B50ED" w14:textId="77777777">
        <w:trPr>
          <w:trHeight w:val="255"/>
        </w:trPr>
        <w:tc>
          <w:tcPr>
            <w:tcW w:w="10625" w:type="dxa"/>
            <w:gridSpan w:val="3"/>
            <w:tcBorders>
              <w:top w:val="nil"/>
              <w:left w:val="nil"/>
              <w:bottom w:val="nil"/>
              <w:right w:val="nil"/>
            </w:tcBorders>
          </w:tcPr>
          <w:p w14:paraId="22A85180"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Lavoratori autonomi</w:t>
            </w:r>
          </w:p>
        </w:tc>
      </w:tr>
      <w:tr w:rsidR="0093709F" w14:paraId="49F0E252" w14:textId="77777777">
        <w:trPr>
          <w:trHeight w:val="255"/>
        </w:trPr>
        <w:tc>
          <w:tcPr>
            <w:tcW w:w="10625" w:type="dxa"/>
            <w:gridSpan w:val="3"/>
            <w:tcBorders>
              <w:top w:val="nil"/>
              <w:left w:val="nil"/>
              <w:bottom w:val="nil"/>
              <w:right w:val="nil"/>
            </w:tcBorders>
          </w:tcPr>
          <w:p w14:paraId="1A6C5B22"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highlight w:val="green"/>
              </w:rPr>
              <w:t>Persone fisiche</w:t>
            </w:r>
          </w:p>
        </w:tc>
      </w:tr>
      <w:tr w:rsidR="0093709F" w14:paraId="312C3E65" w14:textId="77777777">
        <w:trPr>
          <w:trHeight w:val="255"/>
        </w:trPr>
        <w:tc>
          <w:tcPr>
            <w:tcW w:w="10625" w:type="dxa"/>
            <w:gridSpan w:val="3"/>
            <w:tcBorders>
              <w:top w:val="nil"/>
              <w:left w:val="nil"/>
              <w:bottom w:val="nil"/>
              <w:right w:val="nil"/>
            </w:tcBorders>
          </w:tcPr>
          <w:p w14:paraId="39273BC1"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Società di capitali</w:t>
            </w:r>
          </w:p>
        </w:tc>
      </w:tr>
      <w:tr w:rsidR="0093709F" w14:paraId="215662AD" w14:textId="77777777">
        <w:trPr>
          <w:trHeight w:val="255"/>
        </w:trPr>
        <w:tc>
          <w:tcPr>
            <w:tcW w:w="10625" w:type="dxa"/>
            <w:gridSpan w:val="3"/>
            <w:tcBorders>
              <w:top w:val="nil"/>
              <w:left w:val="nil"/>
              <w:bottom w:val="nil"/>
              <w:right w:val="nil"/>
            </w:tcBorders>
          </w:tcPr>
          <w:p w14:paraId="09627605" w14:textId="77777777" w:rsidR="0093709F" w:rsidRPr="00D55F12"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D55F12">
              <w:rPr>
                <w:rFonts w:ascii="Calibri" w:eastAsia="Calibri" w:hAnsi="Calibri" w:cs="Calibri"/>
                <w:color w:val="330033"/>
                <w:sz w:val="20"/>
                <w:szCs w:val="20"/>
              </w:rPr>
              <w:t>Società di persone</w:t>
            </w:r>
          </w:p>
        </w:tc>
      </w:tr>
      <w:tr w:rsidR="0093709F" w14:paraId="6B250788" w14:textId="77777777">
        <w:trPr>
          <w:trHeight w:val="315"/>
        </w:trPr>
        <w:tc>
          <w:tcPr>
            <w:tcW w:w="3700" w:type="dxa"/>
            <w:tcBorders>
              <w:top w:val="nil"/>
              <w:left w:val="single" w:sz="4" w:space="0" w:color="000000"/>
              <w:bottom w:val="single" w:sz="4" w:space="0" w:color="000000"/>
              <w:right w:val="single" w:sz="4" w:space="0" w:color="000000"/>
            </w:tcBorders>
          </w:tcPr>
          <w:p w14:paraId="0A145DEB"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nil"/>
              <w:left w:val="nil"/>
              <w:bottom w:val="single" w:sz="4" w:space="0" w:color="000000"/>
              <w:right w:val="single" w:sz="4" w:space="0" w:color="000000"/>
            </w:tcBorders>
          </w:tcPr>
          <w:p w14:paraId="4A63B665" w14:textId="77777777" w:rsidR="0093709F" w:rsidRDefault="0093709F">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nil"/>
              <w:left w:val="nil"/>
              <w:bottom w:val="single" w:sz="4" w:space="0" w:color="000000"/>
              <w:right w:val="single" w:sz="4" w:space="0" w:color="000000"/>
            </w:tcBorders>
          </w:tcPr>
          <w:p w14:paraId="6E59191B"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069EEDD0" w14:textId="77777777" w:rsidR="0093709F" w:rsidRDefault="0093709F"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745541B3" w14:textId="3AC8D6B5" w:rsidR="007F2CCB" w:rsidRPr="007F2CCB" w:rsidRDefault="007F2CCB" w:rsidP="007F2CCB">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7F2CCB">
        <w:rPr>
          <w:rFonts w:ascii="Calibri" w:hAnsi="Calibri" w:cs="Arial"/>
          <w:color w:val="0F0F0F"/>
          <w:sz w:val="20"/>
          <w:szCs w:val="20"/>
        </w:rPr>
        <w:t>AGEVOLAZIONI</w:t>
      </w:r>
    </w:p>
    <w:p w14:paraId="5A0F020D" w14:textId="0012D61E"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7F2CCB">
        <w:rPr>
          <w:rFonts w:ascii="Arial" w:eastAsia="Arial" w:hAnsi="Arial" w:cs="Arial"/>
          <w:b/>
          <w:bCs/>
          <w:color w:val="000000"/>
          <w:sz w:val="20"/>
          <w:szCs w:val="20"/>
        </w:rPr>
        <w:t xml:space="preserve">L’acquisto della casa: pubblicata la </w:t>
      </w:r>
      <w:r w:rsidR="007F2CCB" w:rsidRPr="007F2CCB">
        <w:rPr>
          <w:rFonts w:ascii="Arial" w:eastAsia="Arial" w:hAnsi="Arial" w:cs="Arial"/>
          <w:b/>
          <w:bCs/>
          <w:color w:val="000000"/>
          <w:sz w:val="20"/>
          <w:szCs w:val="20"/>
        </w:rPr>
        <w:t>G</w:t>
      </w:r>
      <w:r w:rsidRPr="007F2CCB">
        <w:rPr>
          <w:rFonts w:ascii="Arial" w:eastAsia="Arial" w:hAnsi="Arial" w:cs="Arial"/>
          <w:b/>
          <w:bCs/>
          <w:color w:val="000000"/>
          <w:sz w:val="20"/>
          <w:szCs w:val="20"/>
        </w:rPr>
        <w:t>uida aggiornata delle Entrate su imposte e agevolazioni fiscali</w:t>
      </w:r>
    </w:p>
    <w:p w14:paraId="6D073835" w14:textId="4CFC02BC" w:rsidR="007F2CCB" w:rsidRPr="007F2CCB" w:rsidRDefault="007F2CCB"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7F2CCB">
        <w:rPr>
          <w:rFonts w:ascii="Arial" w:eastAsia="Arial" w:hAnsi="Arial" w:cs="Arial"/>
          <w:i/>
          <w:iCs/>
          <w:color w:val="000000"/>
          <w:sz w:val="20"/>
          <w:szCs w:val="20"/>
        </w:rPr>
        <w:t>Agenzia delle Entrate, Guida “L’acquisto della casa: le imposte e le agevolazioni fiscali”</w:t>
      </w:r>
    </w:p>
    <w:p w14:paraId="69D85766" w14:textId="27CB2AD2"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 xml:space="preserve">L’Agenzia delle Entrate ha pubblicato la </w:t>
      </w:r>
      <w:r w:rsidR="007F2CCB">
        <w:rPr>
          <w:rFonts w:ascii="Arial" w:eastAsia="Arial" w:hAnsi="Arial" w:cs="Arial"/>
          <w:color w:val="000000"/>
          <w:sz w:val="20"/>
          <w:szCs w:val="20"/>
        </w:rPr>
        <w:t>G</w:t>
      </w:r>
      <w:r w:rsidRPr="007F2CCB">
        <w:rPr>
          <w:rFonts w:ascii="Arial" w:eastAsia="Arial" w:hAnsi="Arial" w:cs="Arial"/>
          <w:color w:val="000000"/>
          <w:sz w:val="20"/>
          <w:szCs w:val="20"/>
        </w:rPr>
        <w:t>uida</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“L’acquisto della casa: le imposte e le agevolazioni fiscali”, aggiornata ad</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ottobre 2025,</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un quadro riassuntivo delle principali regole da seguire quando si compra una casa, in modo da poter “sfruttare” tutti i benefici previsti dalla legge.</w:t>
      </w:r>
    </w:p>
    <w:p w14:paraId="4CCC0F51" w14:textId="62FCED23"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È rivolta agli acquirenti persone fisiche (che non agiscono nell’esercizio di attività commerciali, artistiche o professionali) e si riferisce sia alle compravendite tra “privati” sia a quelle tra imprese e privati.</w:t>
      </w:r>
    </w:p>
    <w:p w14:paraId="4B74700A" w14:textId="053AACD8"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Una sezione della pubblicazione è dedicata alle</w:t>
      </w:r>
      <w:r w:rsidR="007F2CCB">
        <w:rPr>
          <w:rFonts w:ascii="Arial" w:eastAsia="Arial" w:hAnsi="Arial" w:cs="Arial"/>
          <w:color w:val="000000"/>
          <w:sz w:val="20"/>
          <w:szCs w:val="20"/>
        </w:rPr>
        <w:t xml:space="preserve"> </w:t>
      </w:r>
      <w:r w:rsidRPr="007F2CCB">
        <w:rPr>
          <w:rFonts w:ascii="Arial" w:eastAsia="Arial" w:hAnsi="Arial" w:cs="Arial"/>
          <w:b/>
          <w:bCs/>
          <w:color w:val="000000"/>
          <w:sz w:val="20"/>
          <w:szCs w:val="20"/>
        </w:rPr>
        <w:t>agevolazioni fiscali</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 xml:space="preserve">introdotte dal </w:t>
      </w:r>
      <w:r w:rsidR="007F2CCB">
        <w:rPr>
          <w:rFonts w:ascii="Arial" w:eastAsia="Arial" w:hAnsi="Arial" w:cs="Arial"/>
          <w:color w:val="000000"/>
          <w:sz w:val="20"/>
          <w:szCs w:val="20"/>
        </w:rPr>
        <w:t>D.L.</w:t>
      </w:r>
      <w:r w:rsidRPr="007F2CCB">
        <w:rPr>
          <w:rFonts w:ascii="Arial" w:eastAsia="Arial" w:hAnsi="Arial" w:cs="Arial"/>
          <w:color w:val="000000"/>
          <w:sz w:val="20"/>
          <w:szCs w:val="20"/>
        </w:rPr>
        <w:t xml:space="preserve"> n. 73/2021</w:t>
      </w:r>
      <w:r w:rsidR="007F2CCB">
        <w:rPr>
          <w:rFonts w:ascii="Arial" w:eastAsia="Arial" w:hAnsi="Arial" w:cs="Arial"/>
          <w:color w:val="000000"/>
          <w:sz w:val="20"/>
          <w:szCs w:val="20"/>
        </w:rPr>
        <w:t xml:space="preserve"> </w:t>
      </w:r>
      <w:r w:rsidRPr="007F2CCB">
        <w:rPr>
          <w:rFonts w:ascii="Arial" w:eastAsia="Arial" w:hAnsi="Arial" w:cs="Arial"/>
          <w:b/>
          <w:bCs/>
          <w:color w:val="000000"/>
          <w:sz w:val="20"/>
          <w:szCs w:val="20"/>
        </w:rPr>
        <w:t>in favore dei giovani acquirenti</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(con età inferiore a 36 anni) che hanno stipulato un atto di acquisto della “prima casa” tra il 26 maggio 2021 e il 31 dicembre 2023 (o 31 dicembre 2024, se hanno sottoscritto e registrato un contratto preliminare di acquisto entro il 31 dicembre 2023).</w:t>
      </w:r>
    </w:p>
    <w:p w14:paraId="4CFB12C3" w14:textId="77777777"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La guida si conclude con una sezione con le risposte ai quesiti più ricorrenti sull’argomento.</w:t>
      </w:r>
    </w:p>
    <w:p w14:paraId="285528DC" w14:textId="77777777" w:rsidR="0093709F" w:rsidRPr="007F2CCB" w:rsidRDefault="0093709F"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660D4920" w14:textId="77777777" w:rsidR="0093709F" w:rsidRPr="007F2CCB" w:rsidRDefault="0093709F"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tbl>
      <w:tblPr>
        <w:tblStyle w:val="aa"/>
        <w:tblW w:w="10625" w:type="dxa"/>
        <w:tblInd w:w="0" w:type="dxa"/>
        <w:tblLayout w:type="fixed"/>
        <w:tblLook w:val="0000" w:firstRow="0" w:lastRow="0" w:firstColumn="0" w:lastColumn="0" w:noHBand="0" w:noVBand="0"/>
      </w:tblPr>
      <w:tblGrid>
        <w:gridCol w:w="3700"/>
        <w:gridCol w:w="1120"/>
        <w:gridCol w:w="5805"/>
      </w:tblGrid>
      <w:tr w:rsidR="0093709F" w14:paraId="78022A40" w14:textId="77777777">
        <w:trPr>
          <w:trHeight w:val="255"/>
        </w:trPr>
        <w:tc>
          <w:tcPr>
            <w:tcW w:w="10625" w:type="dxa"/>
            <w:gridSpan w:val="3"/>
            <w:tcBorders>
              <w:top w:val="nil"/>
              <w:left w:val="nil"/>
              <w:bottom w:val="nil"/>
              <w:right w:val="nil"/>
            </w:tcBorders>
          </w:tcPr>
          <w:p w14:paraId="26BB3C39"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93709F" w14:paraId="72BD47FA" w14:textId="77777777">
        <w:trPr>
          <w:trHeight w:val="255"/>
        </w:trPr>
        <w:tc>
          <w:tcPr>
            <w:tcW w:w="10625" w:type="dxa"/>
            <w:gridSpan w:val="3"/>
            <w:tcBorders>
              <w:top w:val="nil"/>
              <w:left w:val="nil"/>
              <w:bottom w:val="nil"/>
              <w:right w:val="nil"/>
            </w:tcBorders>
          </w:tcPr>
          <w:p w14:paraId="061BC766"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93709F" w14:paraId="465F9A00" w14:textId="77777777">
        <w:trPr>
          <w:trHeight w:val="255"/>
        </w:trPr>
        <w:tc>
          <w:tcPr>
            <w:tcW w:w="10625" w:type="dxa"/>
            <w:gridSpan w:val="3"/>
            <w:tcBorders>
              <w:top w:val="nil"/>
              <w:left w:val="nil"/>
              <w:bottom w:val="nil"/>
              <w:right w:val="nil"/>
            </w:tcBorders>
          </w:tcPr>
          <w:p w14:paraId="627F3D4D"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Condomini</w:t>
            </w:r>
          </w:p>
        </w:tc>
      </w:tr>
      <w:tr w:rsidR="0093709F" w14:paraId="116878F2" w14:textId="77777777">
        <w:trPr>
          <w:trHeight w:val="255"/>
        </w:trPr>
        <w:tc>
          <w:tcPr>
            <w:tcW w:w="10625" w:type="dxa"/>
            <w:gridSpan w:val="3"/>
            <w:tcBorders>
              <w:top w:val="nil"/>
              <w:left w:val="nil"/>
              <w:bottom w:val="nil"/>
              <w:right w:val="nil"/>
            </w:tcBorders>
          </w:tcPr>
          <w:p w14:paraId="5CA3C279"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93709F" w14:paraId="16920575" w14:textId="77777777">
        <w:trPr>
          <w:trHeight w:val="255"/>
        </w:trPr>
        <w:tc>
          <w:tcPr>
            <w:tcW w:w="10625" w:type="dxa"/>
            <w:gridSpan w:val="3"/>
            <w:tcBorders>
              <w:top w:val="nil"/>
              <w:left w:val="nil"/>
              <w:bottom w:val="nil"/>
              <w:right w:val="nil"/>
            </w:tcBorders>
          </w:tcPr>
          <w:p w14:paraId="6FF49F59"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93709F" w14:paraId="33E7C39D" w14:textId="77777777">
        <w:trPr>
          <w:trHeight w:val="255"/>
        </w:trPr>
        <w:tc>
          <w:tcPr>
            <w:tcW w:w="10625" w:type="dxa"/>
            <w:gridSpan w:val="3"/>
            <w:tcBorders>
              <w:top w:val="nil"/>
              <w:left w:val="nil"/>
              <w:bottom w:val="nil"/>
              <w:right w:val="nil"/>
            </w:tcBorders>
          </w:tcPr>
          <w:p w14:paraId="7AE8112C"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93709F" w14:paraId="366C1FDC" w14:textId="77777777">
        <w:trPr>
          <w:trHeight w:val="255"/>
        </w:trPr>
        <w:tc>
          <w:tcPr>
            <w:tcW w:w="10625" w:type="dxa"/>
            <w:gridSpan w:val="3"/>
            <w:tcBorders>
              <w:top w:val="nil"/>
              <w:left w:val="nil"/>
              <w:bottom w:val="nil"/>
              <w:right w:val="nil"/>
            </w:tcBorders>
          </w:tcPr>
          <w:p w14:paraId="5D4836D3"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897E44">
              <w:rPr>
                <w:rFonts w:ascii="Calibri" w:eastAsia="Calibri" w:hAnsi="Calibri" w:cs="Calibri"/>
                <w:color w:val="330033"/>
                <w:sz w:val="20"/>
                <w:szCs w:val="20"/>
              </w:rPr>
              <w:t>Persone fisiche</w:t>
            </w:r>
          </w:p>
        </w:tc>
      </w:tr>
      <w:tr w:rsidR="0093709F" w14:paraId="73B0F022" w14:textId="77777777">
        <w:trPr>
          <w:trHeight w:val="255"/>
        </w:trPr>
        <w:tc>
          <w:tcPr>
            <w:tcW w:w="10625" w:type="dxa"/>
            <w:gridSpan w:val="3"/>
            <w:tcBorders>
              <w:top w:val="nil"/>
              <w:left w:val="nil"/>
              <w:bottom w:val="nil"/>
              <w:right w:val="nil"/>
            </w:tcBorders>
          </w:tcPr>
          <w:p w14:paraId="6D0F0147"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93709F" w14:paraId="26E886C4" w14:textId="77777777">
        <w:trPr>
          <w:trHeight w:val="255"/>
        </w:trPr>
        <w:tc>
          <w:tcPr>
            <w:tcW w:w="10625" w:type="dxa"/>
            <w:gridSpan w:val="3"/>
            <w:tcBorders>
              <w:top w:val="nil"/>
              <w:left w:val="nil"/>
              <w:bottom w:val="nil"/>
              <w:right w:val="nil"/>
            </w:tcBorders>
          </w:tcPr>
          <w:p w14:paraId="65F94568" w14:textId="77777777" w:rsidR="0093709F" w:rsidRDefault="00DB7C5E">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persone</w:t>
            </w:r>
          </w:p>
        </w:tc>
      </w:tr>
      <w:tr w:rsidR="0093709F" w14:paraId="5ACA45C3" w14:textId="77777777">
        <w:trPr>
          <w:trHeight w:val="315"/>
        </w:trPr>
        <w:tc>
          <w:tcPr>
            <w:tcW w:w="3700" w:type="dxa"/>
            <w:tcBorders>
              <w:top w:val="nil"/>
              <w:left w:val="single" w:sz="4" w:space="0" w:color="000000"/>
              <w:bottom w:val="single" w:sz="4" w:space="0" w:color="000000"/>
              <w:right w:val="single" w:sz="4" w:space="0" w:color="000000"/>
            </w:tcBorders>
          </w:tcPr>
          <w:p w14:paraId="4186DAD4"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nil"/>
              <w:left w:val="nil"/>
              <w:bottom w:val="single" w:sz="4" w:space="0" w:color="000000"/>
              <w:right w:val="single" w:sz="4" w:space="0" w:color="000000"/>
            </w:tcBorders>
          </w:tcPr>
          <w:p w14:paraId="6D85D7BF" w14:textId="77777777" w:rsidR="0093709F" w:rsidRDefault="0093709F">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nil"/>
              <w:left w:val="nil"/>
              <w:bottom w:val="single" w:sz="4" w:space="0" w:color="000000"/>
              <w:right w:val="single" w:sz="4" w:space="0" w:color="000000"/>
            </w:tcBorders>
          </w:tcPr>
          <w:p w14:paraId="42B2A755" w14:textId="77777777" w:rsidR="0093709F" w:rsidRDefault="0093709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1CE33A89" w14:textId="77777777" w:rsidR="0093709F" w:rsidRDefault="0093709F"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79ED111E" w14:textId="77777777" w:rsidR="007F2CCB" w:rsidRPr="007F2CCB" w:rsidRDefault="007F2CCB" w:rsidP="007F2CCB">
      <w:pPr>
        <w:shd w:val="clear" w:color="auto" w:fill="FFFFFF"/>
        <w:overflowPunct w:val="0"/>
        <w:autoSpaceDE w:val="0"/>
        <w:autoSpaceDN w:val="0"/>
        <w:adjustRightInd w:val="0"/>
        <w:spacing w:line="300" w:lineRule="atLeast"/>
        <w:ind w:left="0" w:hanging="2"/>
        <w:jc w:val="both"/>
        <w:textAlignment w:val="baseline"/>
        <w:rPr>
          <w:rFonts w:ascii="Calibri" w:hAnsi="Calibri" w:cs="Arial"/>
          <w:color w:val="0F0F0F"/>
          <w:sz w:val="20"/>
          <w:szCs w:val="20"/>
        </w:rPr>
      </w:pPr>
      <w:r w:rsidRPr="007F2CCB">
        <w:rPr>
          <w:rFonts w:ascii="Calibri" w:hAnsi="Calibri" w:cs="Arial"/>
          <w:color w:val="0F0F0F"/>
          <w:sz w:val="20"/>
          <w:szCs w:val="20"/>
        </w:rPr>
        <w:t>AGEVOLAZIONI</w:t>
      </w:r>
    </w:p>
    <w:p w14:paraId="6DAC3155" w14:textId="77777777"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7F2CCB">
        <w:rPr>
          <w:rFonts w:ascii="Arial" w:eastAsia="Arial" w:hAnsi="Arial" w:cs="Arial"/>
          <w:b/>
          <w:bCs/>
          <w:color w:val="000000"/>
          <w:sz w:val="20"/>
          <w:szCs w:val="20"/>
        </w:rPr>
        <w:t>Regime impatriati: chiarimenti su residenza all’estero e attività lavorative in Italia</w:t>
      </w:r>
    </w:p>
    <w:p w14:paraId="29E4F569" w14:textId="329224EB" w:rsidR="007F2CCB" w:rsidRPr="007F2CCB" w:rsidRDefault="007F2CCB"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i/>
          <w:iCs/>
          <w:color w:val="000000"/>
          <w:sz w:val="20"/>
          <w:szCs w:val="20"/>
        </w:rPr>
      </w:pPr>
      <w:r w:rsidRPr="007F2CCB">
        <w:rPr>
          <w:rFonts w:ascii="Arial" w:eastAsia="Arial" w:hAnsi="Arial" w:cs="Arial"/>
          <w:i/>
          <w:iCs/>
          <w:color w:val="000000"/>
          <w:sz w:val="20"/>
          <w:szCs w:val="20"/>
        </w:rPr>
        <w:t>Agenzia delle Entrate, Risposta a istanza di interpello 13 ottobre 2025, n. 263</w:t>
      </w:r>
    </w:p>
    <w:p w14:paraId="03848D6C" w14:textId="1292C2AF"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Con</w:t>
      </w:r>
      <w:r w:rsidR="007F2CCB">
        <w:rPr>
          <w:rFonts w:ascii="Arial" w:eastAsia="Arial" w:hAnsi="Arial" w:cs="Arial"/>
          <w:color w:val="000000"/>
          <w:sz w:val="20"/>
          <w:szCs w:val="20"/>
        </w:rPr>
        <w:t xml:space="preserve"> </w:t>
      </w:r>
      <w:r w:rsidR="007F2CCB" w:rsidRPr="007F2CCB">
        <w:rPr>
          <w:rFonts w:ascii="Arial" w:eastAsia="Arial" w:hAnsi="Arial" w:cs="Arial"/>
          <w:sz w:val="20"/>
          <w:szCs w:val="20"/>
        </w:rPr>
        <w:t>r</w:t>
      </w:r>
      <w:r w:rsidRPr="007F2CCB">
        <w:rPr>
          <w:rFonts w:ascii="Arial" w:eastAsia="Arial" w:hAnsi="Arial" w:cs="Arial"/>
          <w:sz w:val="20"/>
          <w:szCs w:val="20"/>
        </w:rPr>
        <w:t xml:space="preserve">isposta </w:t>
      </w:r>
      <w:r w:rsidR="007F2CCB" w:rsidRPr="007F2CCB">
        <w:rPr>
          <w:rFonts w:ascii="Arial" w:eastAsia="Arial" w:hAnsi="Arial" w:cs="Arial"/>
          <w:sz w:val="20"/>
          <w:szCs w:val="20"/>
        </w:rPr>
        <w:t xml:space="preserve">ad interpello </w:t>
      </w:r>
      <w:r w:rsidRPr="007F2CCB">
        <w:rPr>
          <w:rFonts w:ascii="Arial" w:eastAsia="Arial" w:hAnsi="Arial" w:cs="Arial"/>
          <w:sz w:val="20"/>
          <w:szCs w:val="20"/>
        </w:rPr>
        <w:t>n. 263 del 13 ottobre</w:t>
      </w:r>
      <w:r w:rsidR="007F2CCB">
        <w:rPr>
          <w:rFonts w:ascii="Arial" w:eastAsia="Arial" w:hAnsi="Arial" w:cs="Arial"/>
          <w:color w:val="000000"/>
          <w:sz w:val="20"/>
          <w:szCs w:val="20"/>
        </w:rPr>
        <w:t xml:space="preserve">, </w:t>
      </w:r>
      <w:r w:rsidRPr="007F2CCB">
        <w:rPr>
          <w:rFonts w:ascii="Arial" w:eastAsia="Arial" w:hAnsi="Arial" w:cs="Arial"/>
          <w:color w:val="000000"/>
          <w:sz w:val="20"/>
          <w:szCs w:val="20"/>
        </w:rPr>
        <w:t xml:space="preserve">l’Agenzia </w:t>
      </w:r>
      <w:r w:rsidR="007F2CCB">
        <w:rPr>
          <w:rFonts w:ascii="Arial" w:eastAsia="Arial" w:hAnsi="Arial" w:cs="Arial"/>
          <w:color w:val="000000"/>
          <w:sz w:val="20"/>
          <w:szCs w:val="20"/>
        </w:rPr>
        <w:t xml:space="preserve">delle </w:t>
      </w:r>
      <w:r w:rsidRPr="007F2CCB">
        <w:rPr>
          <w:rFonts w:ascii="Arial" w:eastAsia="Arial" w:hAnsi="Arial" w:cs="Arial"/>
          <w:color w:val="000000"/>
          <w:sz w:val="20"/>
          <w:szCs w:val="20"/>
        </w:rPr>
        <w:t>Entrate ha esaminato il caso di un cittadino italiano che, dopo aver lavorato all’estero come dipendente di una società straniera e aver contemporaneamente svolto un’attività di collaborazione coordinata e continuativa con un’università italiana, intende trasferire la propria residenza fiscale in Italia nel 2026 per lavorare come dipendente presso una società non collegata a quella estera, continuando tuttavia la collaborazione con l’università.</w:t>
      </w:r>
    </w:p>
    <w:p w14:paraId="38BE852B" w14:textId="17DF8AE5" w:rsidR="00D9546E" w:rsidRPr="007F2CCB"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lastRenderedPageBreak/>
        <w:t>Dopo aver ripercorso le disposizioni sul nuovo regime impatriati (art. 5</w:t>
      </w:r>
      <w:r w:rsidR="007F2CCB">
        <w:rPr>
          <w:rFonts w:ascii="Arial" w:eastAsia="Arial" w:hAnsi="Arial" w:cs="Arial"/>
          <w:color w:val="000000"/>
          <w:sz w:val="20"/>
          <w:szCs w:val="20"/>
        </w:rPr>
        <w:t>,</w:t>
      </w:r>
      <w:r w:rsidRPr="007F2CCB">
        <w:rPr>
          <w:rFonts w:ascii="Arial" w:eastAsia="Arial" w:hAnsi="Arial" w:cs="Arial"/>
          <w:color w:val="000000"/>
          <w:sz w:val="20"/>
          <w:szCs w:val="20"/>
        </w:rPr>
        <w:t xml:space="preserve"> del </w:t>
      </w:r>
      <w:proofErr w:type="spellStart"/>
      <w:r w:rsidRPr="007F2CCB">
        <w:rPr>
          <w:rFonts w:ascii="Arial" w:eastAsia="Arial" w:hAnsi="Arial" w:cs="Arial"/>
          <w:color w:val="000000"/>
          <w:sz w:val="20"/>
          <w:szCs w:val="20"/>
        </w:rPr>
        <w:t>D</w:t>
      </w:r>
      <w:r w:rsidR="007F2CCB">
        <w:rPr>
          <w:rFonts w:ascii="Arial" w:eastAsia="Arial" w:hAnsi="Arial" w:cs="Arial"/>
          <w:color w:val="000000"/>
          <w:sz w:val="20"/>
          <w:szCs w:val="20"/>
        </w:rPr>
        <w:t>.L</w:t>
      </w:r>
      <w:r w:rsidRPr="007F2CCB">
        <w:rPr>
          <w:rFonts w:ascii="Arial" w:eastAsia="Arial" w:hAnsi="Arial" w:cs="Arial"/>
          <w:color w:val="000000"/>
          <w:sz w:val="20"/>
          <w:szCs w:val="20"/>
        </w:rPr>
        <w:t>gs</w:t>
      </w:r>
      <w:r w:rsidR="007F2CCB">
        <w:rPr>
          <w:rFonts w:ascii="Arial" w:eastAsia="Arial" w:hAnsi="Arial" w:cs="Arial"/>
          <w:color w:val="000000"/>
          <w:sz w:val="20"/>
          <w:szCs w:val="20"/>
        </w:rPr>
        <w:t>.</w:t>
      </w:r>
      <w:proofErr w:type="spellEnd"/>
      <w:r w:rsidRPr="007F2CCB">
        <w:rPr>
          <w:rFonts w:ascii="Arial" w:eastAsia="Arial" w:hAnsi="Arial" w:cs="Arial"/>
          <w:color w:val="000000"/>
          <w:sz w:val="20"/>
          <w:szCs w:val="20"/>
        </w:rPr>
        <w:t xml:space="preserve"> n. 209/2023), riconosciuto a chi trasferisce la residenza in Italia e si impegna a risiedervi per almeno quattro anni, l’Agenzia ha chiarito che il beneficio fiscale potrà essere applicato</w:t>
      </w:r>
      <w:r w:rsidR="007F2CCB">
        <w:rPr>
          <w:rFonts w:ascii="Arial" w:eastAsia="Arial" w:hAnsi="Arial" w:cs="Arial"/>
          <w:color w:val="000000"/>
          <w:sz w:val="20"/>
          <w:szCs w:val="20"/>
        </w:rPr>
        <w:t xml:space="preserve"> </w:t>
      </w:r>
      <w:r w:rsidRPr="007F2CCB">
        <w:rPr>
          <w:rFonts w:ascii="Arial" w:eastAsia="Arial" w:hAnsi="Arial" w:cs="Arial"/>
          <w:b/>
          <w:bCs/>
          <w:color w:val="000000"/>
          <w:sz w:val="20"/>
          <w:szCs w:val="20"/>
        </w:rPr>
        <w:t>solo ai redditi derivanti dal nuovo rapporto di lavoro dipendente instaurato con la società italiana non collegata a quella estera</w:t>
      </w:r>
      <w:r w:rsidRPr="007F2CCB">
        <w:rPr>
          <w:rFonts w:ascii="Arial" w:eastAsia="Arial" w:hAnsi="Arial" w:cs="Arial"/>
          <w:color w:val="000000"/>
          <w:sz w:val="20"/>
          <w:szCs w:val="20"/>
        </w:rPr>
        <w:t>.</w:t>
      </w:r>
    </w:p>
    <w:p w14:paraId="0F322A8D" w14:textId="45B7D6F6" w:rsidR="00D9546E" w:rsidRDefault="00D9546E"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7F2CCB">
        <w:rPr>
          <w:rFonts w:ascii="Arial" w:eastAsia="Arial" w:hAnsi="Arial" w:cs="Arial"/>
          <w:color w:val="000000"/>
          <w:sz w:val="20"/>
          <w:szCs w:val="20"/>
        </w:rPr>
        <w:t>Ai fini dell’agevolazione non rileva, spiegano le Entrate, la circostanza che il contribuente continui anche la collaborazione con l’università. Tuttavia, i redditi percepiti da quest’ultima attività non potranno beneficiare del regime impatriati, poiché si tratta dello stesso datore di lavoro per cui il contribuente aveva lavorato anche in Italia prima del trasferimento all’estero.</w:t>
      </w:r>
    </w:p>
    <w:p w14:paraId="4B8C4AA1" w14:textId="77777777" w:rsidR="007F2CCB" w:rsidRDefault="007F2CCB"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0F18CC6E" w14:textId="32C544F8" w:rsidR="007F2CCB" w:rsidRDefault="007F2CCB" w:rsidP="007F2CCB">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Pr>
          <w:rFonts w:ascii="Arial" w:eastAsia="Arial" w:hAnsi="Arial" w:cs="Arial"/>
          <w:color w:val="000000"/>
          <w:sz w:val="20"/>
          <w:szCs w:val="20"/>
        </w:rPr>
        <w:br w:type="page"/>
      </w:r>
    </w:p>
    <w:tbl>
      <w:tblPr>
        <w:tblStyle w:val="ae"/>
        <w:tblW w:w="9670" w:type="dxa"/>
        <w:tblInd w:w="0" w:type="dxa"/>
        <w:tblLayout w:type="fixed"/>
        <w:tblLook w:val="0000" w:firstRow="0" w:lastRow="0" w:firstColumn="0" w:lastColumn="0" w:noHBand="0" w:noVBand="0"/>
      </w:tblPr>
      <w:tblGrid>
        <w:gridCol w:w="9670"/>
      </w:tblGrid>
      <w:tr w:rsidR="0093709F" w14:paraId="7787E0F0" w14:textId="77777777">
        <w:trPr>
          <w:trHeight w:val="567"/>
        </w:trPr>
        <w:tc>
          <w:tcPr>
            <w:tcW w:w="9670" w:type="dxa"/>
            <w:tcBorders>
              <w:bottom w:val="single" w:sz="4" w:space="0" w:color="366DB3"/>
            </w:tcBorders>
            <w:vAlign w:val="center"/>
          </w:tcPr>
          <w:p w14:paraId="64143D7D" w14:textId="77777777" w:rsidR="0093709F" w:rsidRDefault="00DB7C5E">
            <w:pPr>
              <w:pBdr>
                <w:top w:val="nil"/>
                <w:left w:val="nil"/>
                <w:bottom w:val="nil"/>
                <w:right w:val="nil"/>
                <w:between w:val="nil"/>
              </w:pBdr>
              <w:spacing w:line="240" w:lineRule="auto"/>
              <w:ind w:left="1" w:right="-30" w:hanging="3"/>
              <w:jc w:val="center"/>
              <w:rPr>
                <w:rFonts w:ascii="Arial" w:eastAsia="Arial" w:hAnsi="Arial" w:cs="Arial"/>
                <w:b/>
                <w:color w:val="366DB3"/>
                <w:sz w:val="28"/>
                <w:szCs w:val="28"/>
              </w:rPr>
            </w:pPr>
            <w:r>
              <w:rPr>
                <w:rFonts w:ascii="Arial" w:eastAsia="Arial" w:hAnsi="Arial" w:cs="Arial"/>
                <w:b/>
                <w:color w:val="366DB3"/>
                <w:sz w:val="28"/>
                <w:szCs w:val="28"/>
              </w:rPr>
              <w:lastRenderedPageBreak/>
              <w:t>APPROFONDIMENTI</w:t>
            </w:r>
          </w:p>
        </w:tc>
      </w:tr>
    </w:tbl>
    <w:p w14:paraId="58EC6326" w14:textId="77777777" w:rsidR="002E11D4" w:rsidRPr="007F2CCB" w:rsidRDefault="002E11D4" w:rsidP="007F2CCB">
      <w:pPr>
        <w:pBdr>
          <w:top w:val="nil"/>
          <w:left w:val="nil"/>
          <w:bottom w:val="nil"/>
          <w:right w:val="nil"/>
          <w:between w:val="nil"/>
        </w:pBdr>
        <w:tabs>
          <w:tab w:val="left" w:pos="2160"/>
          <w:tab w:val="left" w:pos="3168"/>
          <w:tab w:val="left" w:pos="4838"/>
        </w:tabs>
        <w:spacing w:line="300" w:lineRule="atLeast"/>
        <w:ind w:leftChars="0" w:left="0" w:firstLineChars="0" w:firstLine="0"/>
        <w:jc w:val="both"/>
        <w:rPr>
          <w:rFonts w:ascii="Arial" w:eastAsia="Arial" w:hAnsi="Arial" w:cs="Arial"/>
          <w:color w:val="000000"/>
          <w:sz w:val="20"/>
          <w:szCs w:val="20"/>
        </w:rPr>
      </w:pPr>
    </w:p>
    <w:tbl>
      <w:tblPr>
        <w:tblStyle w:val="a3"/>
        <w:tblW w:w="10620" w:type="dxa"/>
        <w:tblInd w:w="0" w:type="dxa"/>
        <w:tblLayout w:type="fixed"/>
        <w:tblLook w:val="0000" w:firstRow="0" w:lastRow="0" w:firstColumn="0" w:lastColumn="0" w:noHBand="0" w:noVBand="0"/>
      </w:tblPr>
      <w:tblGrid>
        <w:gridCol w:w="3700"/>
        <w:gridCol w:w="1120"/>
        <w:gridCol w:w="5800"/>
      </w:tblGrid>
      <w:tr w:rsidR="002E11D4" w14:paraId="789B5C07" w14:textId="77777777" w:rsidTr="004E50E7">
        <w:trPr>
          <w:trHeight w:val="255"/>
        </w:trPr>
        <w:tc>
          <w:tcPr>
            <w:tcW w:w="10620" w:type="dxa"/>
            <w:gridSpan w:val="3"/>
            <w:tcBorders>
              <w:top w:val="nil"/>
              <w:left w:val="nil"/>
              <w:bottom w:val="nil"/>
              <w:right w:val="nil"/>
            </w:tcBorders>
          </w:tcPr>
          <w:p w14:paraId="4C3A6E04"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2E11D4" w14:paraId="0BDC6131" w14:textId="77777777" w:rsidTr="004E50E7">
        <w:trPr>
          <w:trHeight w:val="255"/>
        </w:trPr>
        <w:tc>
          <w:tcPr>
            <w:tcW w:w="10620" w:type="dxa"/>
            <w:gridSpan w:val="3"/>
            <w:tcBorders>
              <w:top w:val="nil"/>
              <w:left w:val="nil"/>
              <w:bottom w:val="nil"/>
              <w:right w:val="nil"/>
            </w:tcBorders>
          </w:tcPr>
          <w:p w14:paraId="7B266ACE"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Consorzi</w:t>
            </w:r>
          </w:p>
        </w:tc>
      </w:tr>
      <w:tr w:rsidR="002E11D4" w14:paraId="4E86D360" w14:textId="77777777" w:rsidTr="004E50E7">
        <w:trPr>
          <w:trHeight w:val="255"/>
        </w:trPr>
        <w:tc>
          <w:tcPr>
            <w:tcW w:w="10620" w:type="dxa"/>
            <w:gridSpan w:val="3"/>
            <w:tcBorders>
              <w:top w:val="nil"/>
              <w:left w:val="nil"/>
              <w:bottom w:val="nil"/>
              <w:right w:val="nil"/>
            </w:tcBorders>
          </w:tcPr>
          <w:p w14:paraId="20894E20"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Condomini</w:t>
            </w:r>
          </w:p>
        </w:tc>
      </w:tr>
      <w:tr w:rsidR="002E11D4" w14:paraId="21188CCE" w14:textId="77777777" w:rsidTr="004E50E7">
        <w:trPr>
          <w:trHeight w:val="255"/>
        </w:trPr>
        <w:tc>
          <w:tcPr>
            <w:tcW w:w="10620" w:type="dxa"/>
            <w:gridSpan w:val="3"/>
            <w:tcBorders>
              <w:top w:val="nil"/>
              <w:left w:val="nil"/>
              <w:bottom w:val="nil"/>
              <w:right w:val="nil"/>
            </w:tcBorders>
          </w:tcPr>
          <w:p w14:paraId="2567FB18"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 xml:space="preserve">Enti </w:t>
            </w:r>
            <w:proofErr w:type="spellStart"/>
            <w:r>
              <w:rPr>
                <w:rFonts w:ascii="Calibri" w:eastAsia="Calibri" w:hAnsi="Calibri" w:cs="Calibri"/>
                <w:color w:val="330033"/>
                <w:sz w:val="20"/>
                <w:szCs w:val="20"/>
                <w:highlight w:val="green"/>
              </w:rPr>
              <w:t>no</w:t>
            </w:r>
            <w:proofErr w:type="spellEnd"/>
            <w:r>
              <w:rPr>
                <w:rFonts w:ascii="Calibri" w:eastAsia="Calibri" w:hAnsi="Calibri" w:cs="Calibri"/>
                <w:color w:val="330033"/>
                <w:sz w:val="20"/>
                <w:szCs w:val="20"/>
                <w:highlight w:val="green"/>
              </w:rPr>
              <w:t xml:space="preserve"> profit</w:t>
            </w:r>
          </w:p>
        </w:tc>
      </w:tr>
      <w:tr w:rsidR="002E11D4" w14:paraId="03F26571" w14:textId="77777777" w:rsidTr="004E50E7">
        <w:trPr>
          <w:trHeight w:val="255"/>
        </w:trPr>
        <w:tc>
          <w:tcPr>
            <w:tcW w:w="10620" w:type="dxa"/>
            <w:gridSpan w:val="3"/>
            <w:tcBorders>
              <w:top w:val="nil"/>
              <w:left w:val="nil"/>
              <w:bottom w:val="nil"/>
              <w:right w:val="nil"/>
            </w:tcBorders>
          </w:tcPr>
          <w:p w14:paraId="45DE8072"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Imprese</w:t>
            </w:r>
          </w:p>
        </w:tc>
      </w:tr>
      <w:tr w:rsidR="002E11D4" w14:paraId="43C7B43B" w14:textId="77777777" w:rsidTr="004E50E7">
        <w:trPr>
          <w:trHeight w:val="255"/>
        </w:trPr>
        <w:tc>
          <w:tcPr>
            <w:tcW w:w="10620" w:type="dxa"/>
            <w:gridSpan w:val="3"/>
            <w:tcBorders>
              <w:top w:val="nil"/>
              <w:left w:val="nil"/>
              <w:bottom w:val="nil"/>
              <w:right w:val="nil"/>
            </w:tcBorders>
          </w:tcPr>
          <w:p w14:paraId="052A533B"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Lavoratori autonomi</w:t>
            </w:r>
          </w:p>
        </w:tc>
      </w:tr>
      <w:tr w:rsidR="002E11D4" w14:paraId="2056146E" w14:textId="77777777" w:rsidTr="004E50E7">
        <w:trPr>
          <w:trHeight w:val="255"/>
        </w:trPr>
        <w:tc>
          <w:tcPr>
            <w:tcW w:w="10620" w:type="dxa"/>
            <w:gridSpan w:val="3"/>
            <w:tcBorders>
              <w:top w:val="nil"/>
              <w:left w:val="nil"/>
              <w:bottom w:val="nil"/>
              <w:right w:val="nil"/>
            </w:tcBorders>
          </w:tcPr>
          <w:p w14:paraId="5F5A254E"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E11D4">
              <w:rPr>
                <w:rFonts w:ascii="Calibri" w:eastAsia="Calibri" w:hAnsi="Calibri" w:cs="Calibri"/>
                <w:color w:val="330033"/>
                <w:sz w:val="20"/>
                <w:szCs w:val="20"/>
              </w:rPr>
              <w:t>Persone fisiche</w:t>
            </w:r>
          </w:p>
        </w:tc>
      </w:tr>
      <w:tr w:rsidR="002E11D4" w14:paraId="260B615C" w14:textId="77777777" w:rsidTr="004E50E7">
        <w:trPr>
          <w:trHeight w:val="255"/>
        </w:trPr>
        <w:tc>
          <w:tcPr>
            <w:tcW w:w="10620" w:type="dxa"/>
            <w:gridSpan w:val="3"/>
            <w:tcBorders>
              <w:top w:val="nil"/>
              <w:left w:val="nil"/>
              <w:bottom w:val="nil"/>
              <w:right w:val="nil"/>
            </w:tcBorders>
          </w:tcPr>
          <w:p w14:paraId="215A7370"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capitali</w:t>
            </w:r>
          </w:p>
        </w:tc>
      </w:tr>
      <w:tr w:rsidR="002E11D4" w14:paraId="0C70FCCB" w14:textId="77777777" w:rsidTr="004E50E7">
        <w:trPr>
          <w:trHeight w:val="255"/>
        </w:trPr>
        <w:tc>
          <w:tcPr>
            <w:tcW w:w="10620" w:type="dxa"/>
            <w:gridSpan w:val="3"/>
            <w:tcBorders>
              <w:top w:val="nil"/>
              <w:left w:val="nil"/>
              <w:bottom w:val="nil"/>
              <w:right w:val="nil"/>
            </w:tcBorders>
          </w:tcPr>
          <w:p w14:paraId="1DA2DFD0" w14:textId="77777777" w:rsidR="002E11D4" w:rsidRDefault="002E11D4" w:rsidP="004E50E7">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Pr>
                <w:rFonts w:ascii="Calibri" w:eastAsia="Calibri" w:hAnsi="Calibri" w:cs="Calibri"/>
                <w:color w:val="330033"/>
                <w:sz w:val="20"/>
                <w:szCs w:val="20"/>
                <w:highlight w:val="green"/>
              </w:rPr>
              <w:t>Società di persone</w:t>
            </w:r>
          </w:p>
        </w:tc>
      </w:tr>
      <w:tr w:rsidR="002E11D4" w14:paraId="27FB3598" w14:textId="77777777" w:rsidTr="004E50E7">
        <w:trPr>
          <w:trHeight w:val="300"/>
        </w:trPr>
        <w:tc>
          <w:tcPr>
            <w:tcW w:w="3700" w:type="dxa"/>
            <w:tcBorders>
              <w:top w:val="single" w:sz="4" w:space="0" w:color="000000"/>
              <w:left w:val="single" w:sz="4" w:space="0" w:color="000000"/>
              <w:bottom w:val="single" w:sz="4" w:space="0" w:color="000000"/>
              <w:right w:val="single" w:sz="4" w:space="0" w:color="000000"/>
            </w:tcBorders>
          </w:tcPr>
          <w:p w14:paraId="659E9D22" w14:textId="77777777" w:rsidR="002E11D4" w:rsidRDefault="002E11D4" w:rsidP="004E50E7">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4" w:space="0" w:color="000000"/>
              <w:right w:val="single" w:sz="4" w:space="0" w:color="000000"/>
            </w:tcBorders>
          </w:tcPr>
          <w:p w14:paraId="10FF13B2" w14:textId="77777777" w:rsidR="002E11D4" w:rsidRDefault="002E11D4" w:rsidP="004E50E7">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5800" w:type="dxa"/>
            <w:tcBorders>
              <w:top w:val="single" w:sz="4" w:space="0" w:color="000000"/>
              <w:left w:val="nil"/>
              <w:bottom w:val="single" w:sz="4" w:space="0" w:color="000000"/>
              <w:right w:val="single" w:sz="4" w:space="0" w:color="000000"/>
            </w:tcBorders>
          </w:tcPr>
          <w:p w14:paraId="24A34E2F" w14:textId="77777777" w:rsidR="002E11D4" w:rsidRDefault="002E11D4" w:rsidP="004E50E7">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6B43DDDC" w14:textId="77777777" w:rsidR="002E11D4" w:rsidRDefault="002E11D4" w:rsidP="00064C81">
      <w:pPr>
        <w:pBdr>
          <w:top w:val="nil"/>
          <w:left w:val="nil"/>
          <w:bottom w:val="nil"/>
          <w:right w:val="nil"/>
          <w:between w:val="nil"/>
        </w:pBdr>
        <w:tabs>
          <w:tab w:val="left" w:pos="2160"/>
          <w:tab w:val="left" w:pos="3168"/>
          <w:tab w:val="left" w:pos="4838"/>
        </w:tabs>
        <w:spacing w:line="300" w:lineRule="atLeast"/>
        <w:ind w:leftChars="0" w:left="0" w:firstLineChars="0" w:firstLine="0"/>
        <w:jc w:val="both"/>
        <w:rPr>
          <w:rFonts w:ascii="Arial" w:eastAsia="Arial" w:hAnsi="Arial" w:cs="Arial"/>
          <w:color w:val="000000"/>
          <w:sz w:val="20"/>
          <w:szCs w:val="20"/>
        </w:rPr>
      </w:pPr>
    </w:p>
    <w:p w14:paraId="79F8573B" w14:textId="77777777" w:rsidR="00064C81" w:rsidRPr="00953361" w:rsidRDefault="00064C81" w:rsidP="00064C81">
      <w:pPr>
        <w:shd w:val="clear" w:color="auto" w:fill="FFFFFF"/>
        <w:overflowPunct w:val="0"/>
        <w:autoSpaceDE w:val="0"/>
        <w:autoSpaceDN w:val="0"/>
        <w:adjustRightInd w:val="0"/>
        <w:spacing w:line="300" w:lineRule="atLeast"/>
        <w:ind w:left="0" w:hanging="2"/>
        <w:jc w:val="center"/>
        <w:textAlignment w:val="baseline"/>
        <w:rPr>
          <w:rFonts w:ascii="Calibri" w:hAnsi="Calibri" w:cs="Arial"/>
          <w:color w:val="0F0F0F"/>
          <w:sz w:val="20"/>
          <w:szCs w:val="20"/>
        </w:rPr>
      </w:pPr>
      <w:r w:rsidRPr="00953361">
        <w:rPr>
          <w:rFonts w:ascii="Calibri" w:hAnsi="Calibri" w:cs="Arial"/>
          <w:color w:val="0F0F0F"/>
          <w:sz w:val="20"/>
          <w:szCs w:val="20"/>
        </w:rPr>
        <w:t>ACCERTAMENTO E RISCOSSIONE</w:t>
      </w:r>
    </w:p>
    <w:p w14:paraId="47375D22" w14:textId="4828C4F6" w:rsidR="00064C81" w:rsidRPr="00C51F5A" w:rsidRDefault="00064C81" w:rsidP="00064C81">
      <w:pPr>
        <w:pBdr>
          <w:top w:val="nil"/>
          <w:left w:val="nil"/>
          <w:bottom w:val="nil"/>
          <w:right w:val="nil"/>
          <w:between w:val="nil"/>
        </w:pBdr>
        <w:spacing w:line="300" w:lineRule="atLeast"/>
        <w:ind w:left="0" w:right="-30" w:hanging="2"/>
        <w:jc w:val="center"/>
        <w:rPr>
          <w:rFonts w:ascii="Arial" w:eastAsia="Arial" w:hAnsi="Arial" w:cs="Arial"/>
          <w:b/>
          <w:bCs/>
          <w:color w:val="000000"/>
          <w:sz w:val="20"/>
          <w:szCs w:val="20"/>
        </w:rPr>
      </w:pPr>
      <w:r>
        <w:rPr>
          <w:rFonts w:ascii="Arial" w:eastAsia="Arial" w:hAnsi="Arial" w:cs="Arial"/>
          <w:b/>
          <w:bCs/>
          <w:color w:val="000000"/>
          <w:sz w:val="20"/>
          <w:szCs w:val="20"/>
        </w:rPr>
        <w:t>I</w:t>
      </w:r>
      <w:r w:rsidRPr="00C51F5A">
        <w:rPr>
          <w:rFonts w:ascii="Arial" w:eastAsia="Arial" w:hAnsi="Arial" w:cs="Arial"/>
          <w:b/>
          <w:bCs/>
          <w:color w:val="000000"/>
          <w:sz w:val="20"/>
          <w:szCs w:val="20"/>
        </w:rPr>
        <w:t>l “</w:t>
      </w:r>
      <w:r>
        <w:rPr>
          <w:rFonts w:ascii="Arial" w:eastAsia="Arial" w:hAnsi="Arial" w:cs="Arial"/>
          <w:b/>
          <w:bCs/>
          <w:color w:val="000000"/>
          <w:sz w:val="20"/>
          <w:szCs w:val="20"/>
        </w:rPr>
        <w:t>r</w:t>
      </w:r>
      <w:r w:rsidRPr="00C51F5A">
        <w:rPr>
          <w:rFonts w:ascii="Arial" w:eastAsia="Arial" w:hAnsi="Arial" w:cs="Arial"/>
          <w:b/>
          <w:bCs/>
          <w:color w:val="000000"/>
          <w:sz w:val="20"/>
          <w:szCs w:val="20"/>
        </w:rPr>
        <w:t xml:space="preserve">avvedimento </w:t>
      </w:r>
      <w:r>
        <w:rPr>
          <w:rFonts w:ascii="Arial" w:eastAsia="Arial" w:hAnsi="Arial" w:cs="Arial"/>
          <w:b/>
          <w:bCs/>
          <w:color w:val="000000"/>
          <w:sz w:val="20"/>
          <w:szCs w:val="20"/>
        </w:rPr>
        <w:t>s</w:t>
      </w:r>
      <w:r w:rsidRPr="00C51F5A">
        <w:rPr>
          <w:rFonts w:ascii="Arial" w:eastAsia="Arial" w:hAnsi="Arial" w:cs="Arial"/>
          <w:b/>
          <w:bCs/>
          <w:color w:val="000000"/>
          <w:sz w:val="20"/>
          <w:szCs w:val="20"/>
        </w:rPr>
        <w:t>peciale” 2019-2023 per gli aderenti al CPB 2025-2026</w:t>
      </w:r>
    </w:p>
    <w:p w14:paraId="31FCAE01" w14:textId="77777777" w:rsidR="00064C81" w:rsidRPr="00C51F5A" w:rsidRDefault="00064C81" w:rsidP="00064C81">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sidRPr="00C51F5A">
        <w:rPr>
          <w:rFonts w:ascii="Arial" w:eastAsia="Arial" w:hAnsi="Arial" w:cs="Arial"/>
          <w:color w:val="000000"/>
          <w:sz w:val="20"/>
          <w:szCs w:val="20"/>
        </w:rPr>
        <w:t xml:space="preserve">I soggetti ISA che hanno aderito al </w:t>
      </w:r>
      <w:r>
        <w:rPr>
          <w:rFonts w:ascii="Arial" w:eastAsia="Arial" w:hAnsi="Arial" w:cs="Arial"/>
          <w:color w:val="000000"/>
          <w:sz w:val="20"/>
          <w:szCs w:val="20"/>
        </w:rPr>
        <w:t>c</w:t>
      </w:r>
      <w:r w:rsidRPr="00C51F5A">
        <w:rPr>
          <w:rFonts w:ascii="Arial" w:eastAsia="Arial" w:hAnsi="Arial" w:cs="Arial"/>
          <w:color w:val="000000"/>
          <w:sz w:val="20"/>
          <w:szCs w:val="20"/>
        </w:rPr>
        <w:t xml:space="preserve">oncordato </w:t>
      </w:r>
      <w:r>
        <w:rPr>
          <w:rFonts w:ascii="Arial" w:eastAsia="Arial" w:hAnsi="Arial" w:cs="Arial"/>
          <w:color w:val="000000"/>
          <w:sz w:val="20"/>
          <w:szCs w:val="20"/>
        </w:rPr>
        <w:t>p</w:t>
      </w:r>
      <w:r w:rsidRPr="00C51F5A">
        <w:rPr>
          <w:rFonts w:ascii="Arial" w:eastAsia="Arial" w:hAnsi="Arial" w:cs="Arial"/>
          <w:color w:val="000000"/>
          <w:sz w:val="20"/>
          <w:szCs w:val="20"/>
        </w:rPr>
        <w:t xml:space="preserve">reventivo </w:t>
      </w:r>
      <w:r>
        <w:rPr>
          <w:rFonts w:ascii="Arial" w:eastAsia="Arial" w:hAnsi="Arial" w:cs="Arial"/>
          <w:color w:val="000000"/>
          <w:sz w:val="20"/>
          <w:szCs w:val="20"/>
        </w:rPr>
        <w:t>b</w:t>
      </w:r>
      <w:r w:rsidRPr="00C51F5A">
        <w:rPr>
          <w:rFonts w:ascii="Arial" w:eastAsia="Arial" w:hAnsi="Arial" w:cs="Arial"/>
          <w:color w:val="000000"/>
          <w:sz w:val="20"/>
          <w:szCs w:val="20"/>
        </w:rPr>
        <w:t xml:space="preserve">iennale per gli anni 2025-2026 hanno l’opportunità di </w:t>
      </w:r>
      <w:r w:rsidRPr="00C51F5A">
        <w:rPr>
          <w:rFonts w:ascii="Arial" w:eastAsia="Arial" w:hAnsi="Arial" w:cs="Arial"/>
          <w:b/>
          <w:bCs/>
          <w:color w:val="000000"/>
          <w:sz w:val="20"/>
          <w:szCs w:val="20"/>
        </w:rPr>
        <w:t>regolarizzare le annualità ancora accertabili</w:t>
      </w:r>
      <w:r w:rsidRPr="00C51F5A">
        <w:rPr>
          <w:rFonts w:ascii="Arial" w:eastAsia="Arial" w:hAnsi="Arial" w:cs="Arial"/>
          <w:color w:val="000000"/>
          <w:sz w:val="20"/>
          <w:szCs w:val="20"/>
        </w:rPr>
        <w:t>, ovvero i periodi d’imposta</w:t>
      </w:r>
      <w:r>
        <w:rPr>
          <w:rFonts w:ascii="Arial" w:eastAsia="Arial" w:hAnsi="Arial" w:cs="Arial"/>
          <w:color w:val="000000"/>
          <w:sz w:val="20"/>
          <w:szCs w:val="20"/>
        </w:rPr>
        <w:t xml:space="preserve"> </w:t>
      </w:r>
      <w:r w:rsidRPr="00C51F5A">
        <w:rPr>
          <w:rFonts w:ascii="Arial" w:eastAsia="Arial" w:hAnsi="Arial" w:cs="Arial"/>
          <w:b/>
          <w:bCs/>
          <w:color w:val="000000"/>
          <w:sz w:val="20"/>
          <w:szCs w:val="20"/>
        </w:rPr>
        <w:t>dal 2019 al 2023</w:t>
      </w:r>
      <w:r w:rsidRPr="00C51F5A">
        <w:rPr>
          <w:rFonts w:ascii="Arial" w:eastAsia="Arial" w:hAnsi="Arial" w:cs="Arial"/>
          <w:color w:val="000000"/>
          <w:sz w:val="20"/>
          <w:szCs w:val="20"/>
        </w:rPr>
        <w:t>. Questa “sanatoria” si perfeziona con il versamento di un’</w:t>
      </w:r>
      <w:r w:rsidRPr="00C51F5A">
        <w:rPr>
          <w:rFonts w:ascii="Arial" w:eastAsia="Arial" w:hAnsi="Arial" w:cs="Arial"/>
          <w:b/>
          <w:bCs/>
          <w:color w:val="000000"/>
          <w:sz w:val="20"/>
          <w:szCs w:val="20"/>
        </w:rPr>
        <w:t>imposta sostitutiva</w:t>
      </w:r>
      <w:r w:rsidRPr="00C51F5A">
        <w:rPr>
          <w:rFonts w:ascii="Arial" w:eastAsia="Arial" w:hAnsi="Arial" w:cs="Arial"/>
          <w:color w:val="000000"/>
          <w:sz w:val="20"/>
          <w:szCs w:val="20"/>
        </w:rPr>
        <w:t xml:space="preserve"> delle imposte sui redditi, delle relative addizionali e dell’IRAP, da effettuarsi </w:t>
      </w:r>
      <w:r w:rsidRPr="00C51F5A">
        <w:rPr>
          <w:rFonts w:ascii="Arial" w:eastAsia="Arial" w:hAnsi="Arial" w:cs="Arial"/>
          <w:b/>
          <w:bCs/>
          <w:color w:val="000000"/>
          <w:sz w:val="20"/>
          <w:szCs w:val="20"/>
        </w:rPr>
        <w:t>tra il 1° gennaio e il 15 marzo 2026</w:t>
      </w:r>
      <w:r w:rsidRPr="00C51F5A">
        <w:rPr>
          <w:rFonts w:ascii="Arial" w:eastAsia="Arial" w:hAnsi="Arial" w:cs="Arial"/>
          <w:color w:val="000000"/>
          <w:sz w:val="20"/>
          <w:szCs w:val="20"/>
        </w:rPr>
        <w:t>.</w:t>
      </w:r>
    </w:p>
    <w:p w14:paraId="45AC2F3C" w14:textId="77777777" w:rsidR="00064C81" w:rsidRPr="00C51F5A" w:rsidRDefault="00064C81" w:rsidP="00064C81">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sidRPr="00C51F5A">
        <w:rPr>
          <w:rFonts w:ascii="Arial" w:eastAsia="Arial" w:hAnsi="Arial" w:cs="Arial"/>
          <w:color w:val="000000"/>
          <w:sz w:val="20"/>
          <w:szCs w:val="20"/>
        </w:rPr>
        <w:t xml:space="preserve">L’adesione a questo ravvedimento speciale inibisce significativamente il potere di accertamento dell’Amministrazione </w:t>
      </w:r>
      <w:r>
        <w:rPr>
          <w:rFonts w:ascii="Arial" w:eastAsia="Arial" w:hAnsi="Arial" w:cs="Arial"/>
          <w:color w:val="000000"/>
          <w:sz w:val="20"/>
          <w:szCs w:val="20"/>
        </w:rPr>
        <w:t>f</w:t>
      </w:r>
      <w:r w:rsidRPr="00C51F5A">
        <w:rPr>
          <w:rFonts w:ascii="Arial" w:eastAsia="Arial" w:hAnsi="Arial" w:cs="Arial"/>
          <w:color w:val="000000"/>
          <w:sz w:val="20"/>
          <w:szCs w:val="20"/>
        </w:rPr>
        <w:t>inanziaria per gli anni sanati. Nello specifico, non potranno essere notificati i seguenti atti:</w:t>
      </w:r>
    </w:p>
    <w:p w14:paraId="799CE696" w14:textId="77777777" w:rsidR="00064C81" w:rsidRPr="00C51F5A" w:rsidRDefault="00064C81"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Pr="00C51F5A">
        <w:rPr>
          <w:rFonts w:ascii="Arial" w:eastAsia="Arial" w:hAnsi="Arial" w:cs="Arial"/>
          <w:b/>
          <w:bCs/>
          <w:color w:val="000000"/>
          <w:sz w:val="20"/>
          <w:szCs w:val="20"/>
        </w:rPr>
        <w:t>ccertamenti analitici</w:t>
      </w:r>
      <w:r>
        <w:rPr>
          <w:rFonts w:ascii="Arial" w:eastAsia="Arial" w:hAnsi="Arial" w:cs="Arial"/>
          <w:color w:val="000000"/>
          <w:sz w:val="20"/>
          <w:szCs w:val="20"/>
        </w:rPr>
        <w:t xml:space="preserve"> </w:t>
      </w:r>
      <w:r w:rsidRPr="00C51F5A">
        <w:rPr>
          <w:rFonts w:ascii="Arial" w:eastAsia="Arial" w:hAnsi="Arial" w:cs="Arial"/>
          <w:color w:val="000000"/>
          <w:sz w:val="20"/>
          <w:szCs w:val="20"/>
        </w:rPr>
        <w:t>sui redditi e sull’IRAP</w:t>
      </w:r>
      <w:r>
        <w:rPr>
          <w:rFonts w:ascii="Arial" w:eastAsia="Arial" w:hAnsi="Arial" w:cs="Arial"/>
          <w:color w:val="000000"/>
          <w:sz w:val="20"/>
          <w:szCs w:val="20"/>
        </w:rPr>
        <w:t>;</w:t>
      </w:r>
    </w:p>
    <w:p w14:paraId="134707E0" w14:textId="77777777" w:rsidR="00064C81" w:rsidRPr="00C51F5A" w:rsidRDefault="00064C81"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Pr="00C51F5A">
        <w:rPr>
          <w:rFonts w:ascii="Arial" w:eastAsia="Arial" w:hAnsi="Arial" w:cs="Arial"/>
          <w:b/>
          <w:bCs/>
          <w:color w:val="000000"/>
          <w:sz w:val="20"/>
          <w:szCs w:val="20"/>
        </w:rPr>
        <w:t>ccertamenti analitico-induttivi</w:t>
      </w:r>
      <w:r>
        <w:rPr>
          <w:rFonts w:ascii="Arial" w:eastAsia="Arial" w:hAnsi="Arial" w:cs="Arial"/>
          <w:color w:val="000000"/>
          <w:sz w:val="20"/>
          <w:szCs w:val="20"/>
        </w:rPr>
        <w:t xml:space="preserve"> </w:t>
      </w:r>
      <w:r w:rsidRPr="00C51F5A">
        <w:rPr>
          <w:rFonts w:ascii="Arial" w:eastAsia="Arial" w:hAnsi="Arial" w:cs="Arial"/>
          <w:color w:val="000000"/>
          <w:sz w:val="20"/>
          <w:szCs w:val="20"/>
        </w:rPr>
        <w:t>sui redditi, sull’IRAP e ai fini IVA (come il c.d. “</w:t>
      </w:r>
      <w:proofErr w:type="spellStart"/>
      <w:r w:rsidRPr="00C51F5A">
        <w:rPr>
          <w:rFonts w:ascii="Arial" w:eastAsia="Arial" w:hAnsi="Arial" w:cs="Arial"/>
          <w:color w:val="000000"/>
          <w:sz w:val="20"/>
          <w:szCs w:val="20"/>
        </w:rPr>
        <w:t>tovagliometro</w:t>
      </w:r>
      <w:proofErr w:type="spellEnd"/>
      <w:r w:rsidRPr="00C51F5A">
        <w:rPr>
          <w:rFonts w:ascii="Arial" w:eastAsia="Arial" w:hAnsi="Arial" w:cs="Arial"/>
          <w:color w:val="000000"/>
          <w:sz w:val="20"/>
          <w:szCs w:val="20"/>
        </w:rPr>
        <w:t>”)</w:t>
      </w:r>
      <w:r>
        <w:rPr>
          <w:rFonts w:ascii="Arial" w:eastAsia="Arial" w:hAnsi="Arial" w:cs="Arial"/>
          <w:color w:val="000000"/>
          <w:sz w:val="20"/>
          <w:szCs w:val="20"/>
        </w:rPr>
        <w:t>;</w:t>
      </w:r>
    </w:p>
    <w:p w14:paraId="2705C7C3" w14:textId="77777777" w:rsidR="00064C81" w:rsidRPr="00C51F5A" w:rsidRDefault="00064C81" w:rsidP="009C475F">
      <w:pPr>
        <w:pStyle w:val="Paragrafoelenco"/>
        <w:numPr>
          <w:ilvl w:val="0"/>
          <w:numId w:val="7"/>
        </w:numPr>
        <w:pBdr>
          <w:top w:val="nil"/>
          <w:left w:val="nil"/>
          <w:bottom w:val="nil"/>
          <w:right w:val="nil"/>
          <w:between w:val="nil"/>
        </w:pBdr>
        <w:spacing w:line="300" w:lineRule="atLeast"/>
        <w:ind w:leftChars="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Pr="00C51F5A">
        <w:rPr>
          <w:rFonts w:ascii="Arial" w:eastAsia="Arial" w:hAnsi="Arial" w:cs="Arial"/>
          <w:b/>
          <w:bCs/>
          <w:color w:val="000000"/>
          <w:sz w:val="20"/>
          <w:szCs w:val="20"/>
        </w:rPr>
        <w:t>ccertamenti induttivi</w:t>
      </w:r>
      <w:r>
        <w:rPr>
          <w:rFonts w:ascii="Arial" w:eastAsia="Arial" w:hAnsi="Arial" w:cs="Arial"/>
          <w:color w:val="000000"/>
          <w:sz w:val="20"/>
          <w:szCs w:val="20"/>
        </w:rPr>
        <w:t xml:space="preserve"> </w:t>
      </w:r>
      <w:r w:rsidRPr="00C51F5A">
        <w:rPr>
          <w:rFonts w:ascii="Arial" w:eastAsia="Arial" w:hAnsi="Arial" w:cs="Arial"/>
          <w:color w:val="000000"/>
          <w:sz w:val="20"/>
          <w:szCs w:val="20"/>
        </w:rPr>
        <w:t>sui redditi e sull’IRAP.</w:t>
      </w:r>
    </w:p>
    <w:p w14:paraId="47024941" w14:textId="77777777" w:rsid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r w:rsidRPr="00AE2F3A">
        <w:rPr>
          <w:rFonts w:ascii="Arial" w:eastAsia="Arial" w:hAnsi="Arial" w:cs="Arial"/>
          <w:color w:val="000000"/>
          <w:sz w:val="20"/>
          <w:szCs w:val="20"/>
        </w:rPr>
        <w:t>Di seguito, un’analisi dettagliata dei vantaggi e degli svantaggi.</w:t>
      </w:r>
    </w:p>
    <w:p w14:paraId="15192D65" w14:textId="77777777" w:rsidR="00AE2F3A" w:rsidRP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p w14:paraId="3DC12A9D" w14:textId="77777777" w:rsidR="00AE2F3A" w:rsidRP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b/>
          <w:bCs/>
          <w:color w:val="000000"/>
          <w:sz w:val="20"/>
          <w:szCs w:val="20"/>
        </w:rPr>
      </w:pPr>
      <w:r w:rsidRPr="00AE2F3A">
        <w:rPr>
          <w:rFonts w:ascii="Arial" w:eastAsia="Arial" w:hAnsi="Arial" w:cs="Arial"/>
          <w:b/>
          <w:bCs/>
          <w:color w:val="000000"/>
          <w:sz w:val="20"/>
          <w:szCs w:val="20"/>
        </w:rPr>
        <w:t>Vantaggi</w:t>
      </w:r>
    </w:p>
    <w:p w14:paraId="368CA75F" w14:textId="263B4FF0" w:rsidR="00AE2F3A" w:rsidRPr="00064C81" w:rsidRDefault="00AE2F3A" w:rsidP="009C475F">
      <w:pPr>
        <w:pStyle w:val="Paragrafoelenco"/>
        <w:numPr>
          <w:ilvl w:val="0"/>
          <w:numId w:val="10"/>
        </w:numPr>
        <w:pBdr>
          <w:top w:val="nil"/>
          <w:left w:val="nil"/>
          <w:bottom w:val="nil"/>
          <w:right w:val="nil"/>
          <w:between w:val="nil"/>
        </w:pBdr>
        <w:tabs>
          <w:tab w:val="clear" w:pos="720"/>
          <w:tab w:val="num" w:pos="426"/>
        </w:tabs>
        <w:spacing w:line="300" w:lineRule="atLeast"/>
        <w:ind w:leftChars="0" w:left="426" w:right="-30" w:firstLineChars="0" w:hanging="426"/>
        <w:jc w:val="both"/>
        <w:rPr>
          <w:rFonts w:ascii="Arial" w:eastAsia="Arial" w:hAnsi="Arial" w:cs="Arial"/>
          <w:color w:val="000000"/>
          <w:sz w:val="20"/>
          <w:szCs w:val="20"/>
        </w:rPr>
      </w:pPr>
      <w:r w:rsidRPr="00064C81">
        <w:rPr>
          <w:rFonts w:ascii="Arial" w:eastAsia="Arial" w:hAnsi="Arial" w:cs="Arial"/>
          <w:b/>
          <w:bCs/>
          <w:color w:val="000000"/>
          <w:sz w:val="20"/>
          <w:szCs w:val="20"/>
        </w:rPr>
        <w:t>Chiusura del passato a costi contenuti</w:t>
      </w:r>
      <w:r w:rsidRPr="00064C81">
        <w:rPr>
          <w:rFonts w:ascii="Arial" w:eastAsia="Arial" w:hAnsi="Arial" w:cs="Arial"/>
          <w:color w:val="000000"/>
          <w:sz w:val="20"/>
          <w:szCs w:val="20"/>
        </w:rPr>
        <w:t>:</w:t>
      </w:r>
      <w:r w:rsidR="00064C81" w:rsidRPr="00064C81">
        <w:rPr>
          <w:rFonts w:ascii="Arial" w:eastAsia="Arial" w:hAnsi="Arial" w:cs="Arial"/>
          <w:color w:val="000000"/>
          <w:sz w:val="20"/>
          <w:szCs w:val="20"/>
        </w:rPr>
        <w:t xml:space="preserve"> </w:t>
      </w:r>
      <w:r w:rsidRPr="00064C81">
        <w:rPr>
          <w:rFonts w:ascii="Arial" w:eastAsia="Arial" w:hAnsi="Arial" w:cs="Arial"/>
          <w:color w:val="000000"/>
          <w:sz w:val="20"/>
          <w:szCs w:val="20"/>
        </w:rPr>
        <w:t>il beneficio più evidente è la possibilità di definire le pendenze fiscali per cinque annualità, mettendosi al riparo da futuri controlli invasivi. Il costo è predeterminato e basato su aliquote sostitutive applicate a un maggior reddito calcolato in base al proprio punteggio ISA, risultando spesso più conveniente rispetto a un accertamento ordinario.</w:t>
      </w:r>
    </w:p>
    <w:p w14:paraId="4CFDB549" w14:textId="7807857B" w:rsidR="00AE2F3A" w:rsidRPr="00064C81" w:rsidRDefault="00AE2F3A" w:rsidP="009C475F">
      <w:pPr>
        <w:pStyle w:val="Paragrafoelenco"/>
        <w:numPr>
          <w:ilvl w:val="0"/>
          <w:numId w:val="10"/>
        </w:numPr>
        <w:pBdr>
          <w:top w:val="nil"/>
          <w:left w:val="nil"/>
          <w:bottom w:val="nil"/>
          <w:right w:val="nil"/>
          <w:between w:val="nil"/>
        </w:pBdr>
        <w:tabs>
          <w:tab w:val="clear" w:pos="720"/>
          <w:tab w:val="num" w:pos="426"/>
        </w:tabs>
        <w:spacing w:line="300" w:lineRule="atLeast"/>
        <w:ind w:leftChars="0" w:left="426" w:right="-30" w:firstLineChars="0" w:hanging="426"/>
        <w:jc w:val="both"/>
        <w:rPr>
          <w:rFonts w:ascii="Arial" w:eastAsia="Arial" w:hAnsi="Arial" w:cs="Arial"/>
          <w:color w:val="000000"/>
          <w:sz w:val="20"/>
          <w:szCs w:val="20"/>
        </w:rPr>
      </w:pPr>
      <w:r w:rsidRPr="00064C81">
        <w:rPr>
          <w:rFonts w:ascii="Arial" w:eastAsia="Arial" w:hAnsi="Arial" w:cs="Arial"/>
          <w:b/>
          <w:bCs/>
          <w:color w:val="000000"/>
          <w:sz w:val="20"/>
          <w:szCs w:val="20"/>
        </w:rPr>
        <w:t>Ampia protezione dagli accertamenti</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l’inibizione dei principali metodi di accertamento sui redditi e, in parte, sull’IVA (per gli accertamenti analitico-induttivi) offre una notevole tranquillità al contribuente, permettendogli di concentrarsi sulla gestione futura in regime di concordato.</w:t>
      </w:r>
    </w:p>
    <w:p w14:paraId="3C20A030" w14:textId="25FD9987" w:rsidR="00AE2F3A" w:rsidRPr="00064C81" w:rsidRDefault="00AE2F3A" w:rsidP="009C475F">
      <w:pPr>
        <w:pStyle w:val="Paragrafoelenco"/>
        <w:numPr>
          <w:ilvl w:val="0"/>
          <w:numId w:val="10"/>
        </w:numPr>
        <w:pBdr>
          <w:top w:val="nil"/>
          <w:left w:val="nil"/>
          <w:bottom w:val="nil"/>
          <w:right w:val="nil"/>
          <w:between w:val="nil"/>
        </w:pBdr>
        <w:tabs>
          <w:tab w:val="clear" w:pos="720"/>
          <w:tab w:val="num" w:pos="426"/>
        </w:tabs>
        <w:spacing w:line="300" w:lineRule="atLeast"/>
        <w:ind w:leftChars="0" w:left="426" w:right="-30" w:firstLineChars="0" w:hanging="426"/>
        <w:jc w:val="both"/>
        <w:rPr>
          <w:rFonts w:ascii="Arial" w:eastAsia="Arial" w:hAnsi="Arial" w:cs="Arial"/>
          <w:color w:val="000000"/>
          <w:sz w:val="20"/>
          <w:szCs w:val="20"/>
        </w:rPr>
      </w:pPr>
      <w:r w:rsidRPr="00064C81">
        <w:rPr>
          <w:rFonts w:ascii="Arial" w:eastAsia="Arial" w:hAnsi="Arial" w:cs="Arial"/>
          <w:b/>
          <w:bCs/>
          <w:color w:val="000000"/>
          <w:sz w:val="20"/>
          <w:szCs w:val="20"/>
        </w:rPr>
        <w:t>Flessibilità nella scelta</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il contribuente può scegliere di sanare anche solo una singola annualità tra quelle disponibili (2019-2023), concentrando la regolarizzazione dove ritiene di avere maggiori rischi.</w:t>
      </w:r>
    </w:p>
    <w:p w14:paraId="4AAE3624" w14:textId="1046626E" w:rsidR="00AE2F3A" w:rsidRPr="00064C81" w:rsidRDefault="00AE2F3A" w:rsidP="009C475F">
      <w:pPr>
        <w:pStyle w:val="Paragrafoelenco"/>
        <w:numPr>
          <w:ilvl w:val="0"/>
          <w:numId w:val="10"/>
        </w:numPr>
        <w:pBdr>
          <w:top w:val="nil"/>
          <w:left w:val="nil"/>
          <w:bottom w:val="nil"/>
          <w:right w:val="nil"/>
          <w:between w:val="nil"/>
        </w:pBdr>
        <w:tabs>
          <w:tab w:val="clear" w:pos="720"/>
          <w:tab w:val="num" w:pos="426"/>
        </w:tabs>
        <w:spacing w:line="300" w:lineRule="atLeast"/>
        <w:ind w:leftChars="0" w:left="426" w:right="-30" w:firstLineChars="0" w:hanging="426"/>
        <w:jc w:val="both"/>
        <w:rPr>
          <w:rFonts w:ascii="Arial" w:eastAsia="Arial" w:hAnsi="Arial" w:cs="Arial"/>
          <w:color w:val="000000"/>
          <w:sz w:val="20"/>
          <w:szCs w:val="20"/>
        </w:rPr>
      </w:pPr>
      <w:r w:rsidRPr="00064C81">
        <w:rPr>
          <w:rFonts w:ascii="Arial" w:eastAsia="Arial" w:hAnsi="Arial" w:cs="Arial"/>
          <w:b/>
          <w:bCs/>
          <w:color w:val="000000"/>
          <w:sz w:val="20"/>
          <w:szCs w:val="20"/>
        </w:rPr>
        <w:t>Pagamento rateale</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 xml:space="preserve">è possibile versare l’imposta sostitutiva in un massimo di </w:t>
      </w:r>
      <w:proofErr w:type="gramStart"/>
      <w:r w:rsidRPr="00064C81">
        <w:rPr>
          <w:rFonts w:ascii="Arial" w:eastAsia="Arial" w:hAnsi="Arial" w:cs="Arial"/>
          <w:color w:val="000000"/>
          <w:sz w:val="20"/>
          <w:szCs w:val="20"/>
        </w:rPr>
        <w:t>10</w:t>
      </w:r>
      <w:proofErr w:type="gramEnd"/>
      <w:r w:rsidRPr="00064C81">
        <w:rPr>
          <w:rFonts w:ascii="Arial" w:eastAsia="Arial" w:hAnsi="Arial" w:cs="Arial"/>
          <w:color w:val="000000"/>
          <w:sz w:val="20"/>
          <w:szCs w:val="20"/>
        </w:rPr>
        <w:t xml:space="preserve"> rate mensili, rendendo l’onere finanziario più sostenibile.</w:t>
      </w:r>
    </w:p>
    <w:p w14:paraId="185FE1B7" w14:textId="773AC5E9" w:rsidR="00AE2F3A" w:rsidRP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p w14:paraId="3162ECC4" w14:textId="1556F507" w:rsidR="00AE2F3A" w:rsidRP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b/>
          <w:bCs/>
          <w:color w:val="000000"/>
          <w:sz w:val="20"/>
          <w:szCs w:val="20"/>
        </w:rPr>
      </w:pPr>
      <w:r w:rsidRPr="00AE2F3A">
        <w:rPr>
          <w:rFonts w:ascii="Arial" w:eastAsia="Arial" w:hAnsi="Arial" w:cs="Arial"/>
          <w:b/>
          <w:bCs/>
          <w:color w:val="000000"/>
          <w:sz w:val="20"/>
          <w:szCs w:val="20"/>
        </w:rPr>
        <w:t xml:space="preserve">Svantaggi e </w:t>
      </w:r>
      <w:r w:rsidR="00064C81">
        <w:rPr>
          <w:rFonts w:ascii="Arial" w:eastAsia="Arial" w:hAnsi="Arial" w:cs="Arial"/>
          <w:b/>
          <w:bCs/>
          <w:color w:val="000000"/>
          <w:sz w:val="20"/>
          <w:szCs w:val="20"/>
        </w:rPr>
        <w:t>l</w:t>
      </w:r>
      <w:r w:rsidRPr="00AE2F3A">
        <w:rPr>
          <w:rFonts w:ascii="Arial" w:eastAsia="Arial" w:hAnsi="Arial" w:cs="Arial"/>
          <w:b/>
          <w:bCs/>
          <w:color w:val="000000"/>
          <w:sz w:val="20"/>
          <w:szCs w:val="20"/>
        </w:rPr>
        <w:t>imitazioni</w:t>
      </w:r>
    </w:p>
    <w:p w14:paraId="3B21F963" w14:textId="7C6CD0F8" w:rsidR="00AE2F3A" w:rsidRPr="00064C81" w:rsidRDefault="00AE2F3A" w:rsidP="009C475F">
      <w:pPr>
        <w:pStyle w:val="Paragrafoelenco"/>
        <w:numPr>
          <w:ilvl w:val="0"/>
          <w:numId w:val="11"/>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sidRPr="00064C81">
        <w:rPr>
          <w:rFonts w:ascii="Arial" w:eastAsia="Arial" w:hAnsi="Arial" w:cs="Arial"/>
          <w:b/>
          <w:bCs/>
          <w:color w:val="000000"/>
          <w:sz w:val="20"/>
          <w:szCs w:val="20"/>
        </w:rPr>
        <w:t>Copertura non totale</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 xml:space="preserve">l’ombrello protettivo non è assoluto. L’Amministrazione </w:t>
      </w:r>
      <w:r w:rsidR="00064C81">
        <w:rPr>
          <w:rFonts w:ascii="Arial" w:eastAsia="Arial" w:hAnsi="Arial" w:cs="Arial"/>
          <w:color w:val="000000"/>
          <w:sz w:val="20"/>
          <w:szCs w:val="20"/>
        </w:rPr>
        <w:t>f</w:t>
      </w:r>
      <w:r w:rsidRPr="00064C81">
        <w:rPr>
          <w:rFonts w:ascii="Arial" w:eastAsia="Arial" w:hAnsi="Arial" w:cs="Arial"/>
          <w:color w:val="000000"/>
          <w:sz w:val="20"/>
          <w:szCs w:val="20"/>
        </w:rPr>
        <w:t>inanziaria conserva pieni poteri per notificare:</w:t>
      </w:r>
    </w:p>
    <w:p w14:paraId="2169312B" w14:textId="1DEF0CFE" w:rsidR="00AE2F3A" w:rsidRPr="00064C81" w:rsidRDefault="00064C81" w:rsidP="009C475F">
      <w:pPr>
        <w:pStyle w:val="Paragrafoelenco"/>
        <w:numPr>
          <w:ilvl w:val="0"/>
          <w:numId w:val="12"/>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q</w:t>
      </w:r>
      <w:r w:rsidR="00AE2F3A" w:rsidRPr="00064C81">
        <w:rPr>
          <w:rFonts w:ascii="Arial" w:eastAsia="Arial" w:hAnsi="Arial" w:cs="Arial"/>
          <w:b/>
          <w:bCs/>
          <w:color w:val="000000"/>
          <w:sz w:val="20"/>
          <w:szCs w:val="20"/>
        </w:rPr>
        <w:t>ualsiasi rettifica ai fini IVA</w:t>
      </w:r>
      <w:r w:rsidR="00AE2F3A" w:rsidRPr="00064C81">
        <w:rPr>
          <w:rFonts w:ascii="Arial" w:eastAsia="Arial" w:hAnsi="Arial" w:cs="Arial"/>
          <w:color w:val="000000"/>
          <w:sz w:val="20"/>
          <w:szCs w:val="20"/>
        </w:rPr>
        <w:t>, ad eccezione di quella scaturente da accertamenti analitico-induttivi</w:t>
      </w:r>
      <w:r>
        <w:rPr>
          <w:rFonts w:ascii="Arial" w:eastAsia="Arial" w:hAnsi="Arial" w:cs="Arial"/>
          <w:color w:val="000000"/>
          <w:sz w:val="20"/>
          <w:szCs w:val="20"/>
        </w:rPr>
        <w:t>;</w:t>
      </w:r>
    </w:p>
    <w:p w14:paraId="5B900F2B" w14:textId="16691098" w:rsidR="00AE2F3A" w:rsidRPr="00064C81" w:rsidRDefault="00064C81" w:rsidP="009C475F">
      <w:pPr>
        <w:pStyle w:val="Paragrafoelenco"/>
        <w:numPr>
          <w:ilvl w:val="0"/>
          <w:numId w:val="12"/>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lastRenderedPageBreak/>
        <w:t>a</w:t>
      </w:r>
      <w:r w:rsidR="00AE2F3A" w:rsidRPr="00064C81">
        <w:rPr>
          <w:rFonts w:ascii="Arial" w:eastAsia="Arial" w:hAnsi="Arial" w:cs="Arial"/>
          <w:b/>
          <w:bCs/>
          <w:color w:val="000000"/>
          <w:sz w:val="20"/>
          <w:szCs w:val="20"/>
        </w:rPr>
        <w:t>ccertamenti per abuso del diritto</w:t>
      </w:r>
      <w:r>
        <w:rPr>
          <w:rFonts w:ascii="Arial" w:eastAsia="Arial" w:hAnsi="Arial" w:cs="Arial"/>
          <w:color w:val="000000"/>
          <w:sz w:val="20"/>
          <w:szCs w:val="20"/>
        </w:rPr>
        <w:t xml:space="preserve"> </w:t>
      </w:r>
      <w:r w:rsidR="00AE2F3A" w:rsidRPr="00064C81">
        <w:rPr>
          <w:rFonts w:ascii="Arial" w:eastAsia="Arial" w:hAnsi="Arial" w:cs="Arial"/>
          <w:color w:val="000000"/>
          <w:sz w:val="20"/>
          <w:szCs w:val="20"/>
        </w:rPr>
        <w:t xml:space="preserve">(art. 10-bis, Statuto del </w:t>
      </w:r>
      <w:r>
        <w:rPr>
          <w:rFonts w:ascii="Arial" w:eastAsia="Arial" w:hAnsi="Arial" w:cs="Arial"/>
          <w:color w:val="000000"/>
          <w:sz w:val="20"/>
          <w:szCs w:val="20"/>
        </w:rPr>
        <w:t>c</w:t>
      </w:r>
      <w:r w:rsidR="00AE2F3A" w:rsidRPr="00064C81">
        <w:rPr>
          <w:rFonts w:ascii="Arial" w:eastAsia="Arial" w:hAnsi="Arial" w:cs="Arial"/>
          <w:color w:val="000000"/>
          <w:sz w:val="20"/>
          <w:szCs w:val="20"/>
        </w:rPr>
        <w:t>ontribuente)</w:t>
      </w:r>
      <w:r>
        <w:rPr>
          <w:rFonts w:ascii="Arial" w:eastAsia="Arial" w:hAnsi="Arial" w:cs="Arial"/>
          <w:color w:val="000000"/>
          <w:sz w:val="20"/>
          <w:szCs w:val="20"/>
        </w:rPr>
        <w:t>;</w:t>
      </w:r>
    </w:p>
    <w:p w14:paraId="40A2C893" w14:textId="563185AF" w:rsidR="00AE2F3A" w:rsidRPr="00064C81" w:rsidRDefault="00064C81" w:rsidP="009C475F">
      <w:pPr>
        <w:pStyle w:val="Paragrafoelenco"/>
        <w:numPr>
          <w:ilvl w:val="0"/>
          <w:numId w:val="12"/>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a</w:t>
      </w:r>
      <w:r w:rsidR="00AE2F3A" w:rsidRPr="00064C81">
        <w:rPr>
          <w:rFonts w:ascii="Arial" w:eastAsia="Arial" w:hAnsi="Arial" w:cs="Arial"/>
          <w:b/>
          <w:bCs/>
          <w:color w:val="000000"/>
          <w:sz w:val="20"/>
          <w:szCs w:val="20"/>
        </w:rPr>
        <w:t>ccertamenti sintetici</w:t>
      </w:r>
      <w:r>
        <w:rPr>
          <w:rFonts w:ascii="Arial" w:eastAsia="Arial" w:hAnsi="Arial" w:cs="Arial"/>
          <w:color w:val="000000"/>
          <w:sz w:val="20"/>
          <w:szCs w:val="20"/>
        </w:rPr>
        <w:t xml:space="preserve"> </w:t>
      </w:r>
      <w:r w:rsidR="00AE2F3A" w:rsidRPr="00064C81">
        <w:rPr>
          <w:rFonts w:ascii="Arial" w:eastAsia="Arial" w:hAnsi="Arial" w:cs="Arial"/>
          <w:color w:val="000000"/>
          <w:sz w:val="20"/>
          <w:szCs w:val="20"/>
        </w:rPr>
        <w:t>sul reddito delle persone fisiche (art. 38, D</w:t>
      </w:r>
      <w:r>
        <w:rPr>
          <w:rFonts w:ascii="Arial" w:eastAsia="Arial" w:hAnsi="Arial" w:cs="Arial"/>
          <w:color w:val="000000"/>
          <w:sz w:val="20"/>
          <w:szCs w:val="20"/>
        </w:rPr>
        <w:t>.</w:t>
      </w:r>
      <w:r w:rsidR="00AE2F3A" w:rsidRPr="00064C81">
        <w:rPr>
          <w:rFonts w:ascii="Arial" w:eastAsia="Arial" w:hAnsi="Arial" w:cs="Arial"/>
          <w:color w:val="000000"/>
          <w:sz w:val="20"/>
          <w:szCs w:val="20"/>
        </w:rPr>
        <w:t>P</w:t>
      </w:r>
      <w:r>
        <w:rPr>
          <w:rFonts w:ascii="Arial" w:eastAsia="Arial" w:hAnsi="Arial" w:cs="Arial"/>
          <w:color w:val="000000"/>
          <w:sz w:val="20"/>
          <w:szCs w:val="20"/>
        </w:rPr>
        <w:t>.</w:t>
      </w:r>
      <w:r w:rsidR="00AE2F3A" w:rsidRPr="00064C81">
        <w:rPr>
          <w:rFonts w:ascii="Arial" w:eastAsia="Arial" w:hAnsi="Arial" w:cs="Arial"/>
          <w:color w:val="000000"/>
          <w:sz w:val="20"/>
          <w:szCs w:val="20"/>
        </w:rPr>
        <w:t>R</w:t>
      </w:r>
      <w:r>
        <w:rPr>
          <w:rFonts w:ascii="Arial" w:eastAsia="Arial" w:hAnsi="Arial" w:cs="Arial"/>
          <w:color w:val="000000"/>
          <w:sz w:val="20"/>
          <w:szCs w:val="20"/>
        </w:rPr>
        <w:t>.</w:t>
      </w:r>
      <w:r w:rsidR="00AE2F3A" w:rsidRPr="00064C81">
        <w:rPr>
          <w:rFonts w:ascii="Arial" w:eastAsia="Arial" w:hAnsi="Arial" w:cs="Arial"/>
          <w:color w:val="000000"/>
          <w:sz w:val="20"/>
          <w:szCs w:val="20"/>
        </w:rPr>
        <w:t xml:space="preserve"> n. 600/</w:t>
      </w:r>
      <w:r>
        <w:rPr>
          <w:rFonts w:ascii="Arial" w:eastAsia="Arial" w:hAnsi="Arial" w:cs="Arial"/>
          <w:color w:val="000000"/>
          <w:sz w:val="20"/>
          <w:szCs w:val="20"/>
        </w:rPr>
        <w:t>19</w:t>
      </w:r>
      <w:r w:rsidR="00AE2F3A" w:rsidRPr="00064C81">
        <w:rPr>
          <w:rFonts w:ascii="Arial" w:eastAsia="Arial" w:hAnsi="Arial" w:cs="Arial"/>
          <w:color w:val="000000"/>
          <w:sz w:val="20"/>
          <w:szCs w:val="20"/>
        </w:rPr>
        <w:t>73)</w:t>
      </w:r>
      <w:r>
        <w:rPr>
          <w:rFonts w:ascii="Arial" w:eastAsia="Arial" w:hAnsi="Arial" w:cs="Arial"/>
          <w:color w:val="000000"/>
          <w:sz w:val="20"/>
          <w:szCs w:val="20"/>
        </w:rPr>
        <w:t>;</w:t>
      </w:r>
    </w:p>
    <w:p w14:paraId="3FF59515" w14:textId="25EA45AD" w:rsidR="00AE2F3A" w:rsidRPr="00064C81" w:rsidRDefault="00064C81" w:rsidP="009C475F">
      <w:pPr>
        <w:pStyle w:val="Paragrafoelenco"/>
        <w:numPr>
          <w:ilvl w:val="0"/>
          <w:numId w:val="12"/>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color w:val="000000"/>
          <w:sz w:val="20"/>
          <w:szCs w:val="20"/>
        </w:rPr>
        <w:t>a</w:t>
      </w:r>
      <w:r w:rsidR="00AE2F3A" w:rsidRPr="00064C81">
        <w:rPr>
          <w:rFonts w:ascii="Arial" w:eastAsia="Arial" w:hAnsi="Arial" w:cs="Arial"/>
          <w:color w:val="000000"/>
          <w:sz w:val="20"/>
          <w:szCs w:val="20"/>
        </w:rPr>
        <w:t>tti di contestazione per</w:t>
      </w:r>
      <w:r>
        <w:rPr>
          <w:rFonts w:ascii="Arial" w:eastAsia="Arial" w:hAnsi="Arial" w:cs="Arial"/>
          <w:color w:val="000000"/>
          <w:sz w:val="20"/>
          <w:szCs w:val="20"/>
        </w:rPr>
        <w:t xml:space="preserve"> </w:t>
      </w:r>
      <w:r w:rsidR="00AE2F3A" w:rsidRPr="00064C81">
        <w:rPr>
          <w:rFonts w:ascii="Arial" w:eastAsia="Arial" w:hAnsi="Arial" w:cs="Arial"/>
          <w:b/>
          <w:bCs/>
          <w:color w:val="000000"/>
          <w:sz w:val="20"/>
          <w:szCs w:val="20"/>
        </w:rPr>
        <w:t>interposizione fittizia</w:t>
      </w:r>
      <w:r>
        <w:rPr>
          <w:rFonts w:ascii="Arial" w:eastAsia="Arial" w:hAnsi="Arial" w:cs="Arial"/>
          <w:color w:val="000000"/>
          <w:sz w:val="20"/>
          <w:szCs w:val="20"/>
        </w:rPr>
        <w:t xml:space="preserve"> </w:t>
      </w:r>
      <w:r w:rsidR="00AE2F3A" w:rsidRPr="00064C81">
        <w:rPr>
          <w:rFonts w:ascii="Arial" w:eastAsia="Arial" w:hAnsi="Arial" w:cs="Arial"/>
          <w:color w:val="000000"/>
          <w:sz w:val="20"/>
          <w:szCs w:val="20"/>
        </w:rPr>
        <w:t>(art. 37, comma 3, D</w:t>
      </w:r>
      <w:r>
        <w:rPr>
          <w:rFonts w:ascii="Arial" w:eastAsia="Arial" w:hAnsi="Arial" w:cs="Arial"/>
          <w:color w:val="000000"/>
          <w:sz w:val="20"/>
          <w:szCs w:val="20"/>
        </w:rPr>
        <w:t>.</w:t>
      </w:r>
      <w:r w:rsidR="00AE2F3A" w:rsidRPr="00064C81">
        <w:rPr>
          <w:rFonts w:ascii="Arial" w:eastAsia="Arial" w:hAnsi="Arial" w:cs="Arial"/>
          <w:color w:val="000000"/>
          <w:sz w:val="20"/>
          <w:szCs w:val="20"/>
        </w:rPr>
        <w:t>P</w:t>
      </w:r>
      <w:r>
        <w:rPr>
          <w:rFonts w:ascii="Arial" w:eastAsia="Arial" w:hAnsi="Arial" w:cs="Arial"/>
          <w:color w:val="000000"/>
          <w:sz w:val="20"/>
          <w:szCs w:val="20"/>
        </w:rPr>
        <w:t>.</w:t>
      </w:r>
      <w:r w:rsidR="00AE2F3A" w:rsidRPr="00064C81">
        <w:rPr>
          <w:rFonts w:ascii="Arial" w:eastAsia="Arial" w:hAnsi="Arial" w:cs="Arial"/>
          <w:color w:val="000000"/>
          <w:sz w:val="20"/>
          <w:szCs w:val="20"/>
        </w:rPr>
        <w:t>R</w:t>
      </w:r>
      <w:r>
        <w:rPr>
          <w:rFonts w:ascii="Arial" w:eastAsia="Arial" w:hAnsi="Arial" w:cs="Arial"/>
          <w:color w:val="000000"/>
          <w:sz w:val="20"/>
          <w:szCs w:val="20"/>
        </w:rPr>
        <w:t>.</w:t>
      </w:r>
      <w:r w:rsidR="00AE2F3A" w:rsidRPr="00064C81">
        <w:rPr>
          <w:rFonts w:ascii="Arial" w:eastAsia="Arial" w:hAnsi="Arial" w:cs="Arial"/>
          <w:color w:val="000000"/>
          <w:sz w:val="20"/>
          <w:szCs w:val="20"/>
        </w:rPr>
        <w:t xml:space="preserve"> n. 600/</w:t>
      </w:r>
      <w:r>
        <w:rPr>
          <w:rFonts w:ascii="Arial" w:eastAsia="Arial" w:hAnsi="Arial" w:cs="Arial"/>
          <w:color w:val="000000"/>
          <w:sz w:val="20"/>
          <w:szCs w:val="20"/>
        </w:rPr>
        <w:t>19</w:t>
      </w:r>
      <w:r w:rsidR="00AE2F3A" w:rsidRPr="00064C81">
        <w:rPr>
          <w:rFonts w:ascii="Arial" w:eastAsia="Arial" w:hAnsi="Arial" w:cs="Arial"/>
          <w:color w:val="000000"/>
          <w:sz w:val="20"/>
          <w:szCs w:val="20"/>
        </w:rPr>
        <w:t>73)</w:t>
      </w:r>
      <w:r>
        <w:rPr>
          <w:rFonts w:ascii="Arial" w:eastAsia="Arial" w:hAnsi="Arial" w:cs="Arial"/>
          <w:color w:val="000000"/>
          <w:sz w:val="20"/>
          <w:szCs w:val="20"/>
        </w:rPr>
        <w:t>;</w:t>
      </w:r>
    </w:p>
    <w:p w14:paraId="4B650CC3" w14:textId="592BFEE6" w:rsidR="00AE2F3A" w:rsidRPr="00064C81" w:rsidRDefault="00064C81" w:rsidP="009C475F">
      <w:pPr>
        <w:pStyle w:val="Paragrafoelenco"/>
        <w:numPr>
          <w:ilvl w:val="0"/>
          <w:numId w:val="12"/>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color w:val="000000"/>
          <w:sz w:val="20"/>
          <w:szCs w:val="20"/>
        </w:rPr>
        <w:t>a</w:t>
      </w:r>
      <w:r w:rsidR="00AE2F3A" w:rsidRPr="00064C81">
        <w:rPr>
          <w:rFonts w:ascii="Arial" w:eastAsia="Arial" w:hAnsi="Arial" w:cs="Arial"/>
          <w:color w:val="000000"/>
          <w:sz w:val="20"/>
          <w:szCs w:val="20"/>
        </w:rPr>
        <w:t>tti di recupero di</w:t>
      </w:r>
      <w:r>
        <w:rPr>
          <w:rFonts w:ascii="Arial" w:eastAsia="Arial" w:hAnsi="Arial" w:cs="Arial"/>
          <w:color w:val="000000"/>
          <w:sz w:val="20"/>
          <w:szCs w:val="20"/>
        </w:rPr>
        <w:t xml:space="preserve"> </w:t>
      </w:r>
      <w:r w:rsidR="00AE2F3A" w:rsidRPr="00064C81">
        <w:rPr>
          <w:rFonts w:ascii="Arial" w:eastAsia="Arial" w:hAnsi="Arial" w:cs="Arial"/>
          <w:b/>
          <w:bCs/>
          <w:color w:val="000000"/>
          <w:sz w:val="20"/>
          <w:szCs w:val="20"/>
        </w:rPr>
        <w:t>crediti d’imposta agevolativi</w:t>
      </w:r>
      <w:r>
        <w:rPr>
          <w:rFonts w:ascii="Arial" w:eastAsia="Arial" w:hAnsi="Arial" w:cs="Arial"/>
          <w:color w:val="000000"/>
          <w:sz w:val="20"/>
          <w:szCs w:val="20"/>
        </w:rPr>
        <w:t xml:space="preserve"> </w:t>
      </w:r>
      <w:r w:rsidR="00AE2F3A" w:rsidRPr="00064C81">
        <w:rPr>
          <w:rFonts w:ascii="Arial" w:eastAsia="Arial" w:hAnsi="Arial" w:cs="Arial"/>
          <w:color w:val="000000"/>
          <w:sz w:val="20"/>
          <w:szCs w:val="20"/>
        </w:rPr>
        <w:t>(es. crediti indicati nel quadro RU).</w:t>
      </w:r>
    </w:p>
    <w:p w14:paraId="7EA76F46" w14:textId="26477C7C" w:rsidR="00AE2F3A" w:rsidRPr="00064C81" w:rsidRDefault="00AE2F3A" w:rsidP="009C475F">
      <w:pPr>
        <w:pStyle w:val="Paragrafoelenco"/>
        <w:numPr>
          <w:ilvl w:val="0"/>
          <w:numId w:val="11"/>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sidRPr="00064C81">
        <w:rPr>
          <w:rFonts w:ascii="Arial" w:eastAsia="Arial" w:hAnsi="Arial" w:cs="Arial"/>
          <w:b/>
          <w:bCs/>
          <w:color w:val="000000"/>
          <w:sz w:val="20"/>
          <w:szCs w:val="20"/>
        </w:rPr>
        <w:t>Proroga dei termini di accertamento</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l’adesione al CPB 2025-2026 comporta la</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proroga al 31 dicembre 2026</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dei termini di accertamento che sarebbero scaduti il 31 dicembre 2025. Questo vale</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indipendentemente</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dal fatto che si aderisca o meno al ravvedimento speciale. Se si aderisce al ravvedimento e successivamente si decade dai benefici, il Fisco avrà più tempo per effettuare le contestazioni.</w:t>
      </w:r>
    </w:p>
    <w:p w14:paraId="7864D9D8" w14:textId="73789A3D" w:rsidR="00AE2F3A" w:rsidRPr="00064C81" w:rsidRDefault="00AE2F3A" w:rsidP="009C475F">
      <w:pPr>
        <w:pStyle w:val="Paragrafoelenco"/>
        <w:numPr>
          <w:ilvl w:val="0"/>
          <w:numId w:val="11"/>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sidRPr="00064C81">
        <w:rPr>
          <w:rFonts w:ascii="Arial" w:eastAsia="Arial" w:hAnsi="Arial" w:cs="Arial"/>
          <w:b/>
          <w:bCs/>
          <w:color w:val="000000"/>
          <w:sz w:val="20"/>
          <w:szCs w:val="20"/>
        </w:rPr>
        <w:t>Cause di decadenza e inefficacia</w:t>
      </w:r>
      <w:r w:rsidRPr="00064C81">
        <w:rPr>
          <w:rFonts w:ascii="Arial" w:eastAsia="Arial" w:hAnsi="Arial" w:cs="Arial"/>
          <w:color w:val="000000"/>
          <w:sz w:val="20"/>
          <w:szCs w:val="20"/>
        </w:rPr>
        <w:t>:</w:t>
      </w:r>
      <w:r w:rsidR="00064C81">
        <w:rPr>
          <w:rFonts w:ascii="Arial" w:eastAsia="Arial" w:hAnsi="Arial" w:cs="Arial"/>
          <w:color w:val="000000"/>
          <w:sz w:val="20"/>
          <w:szCs w:val="20"/>
        </w:rPr>
        <w:t xml:space="preserve"> </w:t>
      </w:r>
      <w:r w:rsidRPr="00064C81">
        <w:rPr>
          <w:rFonts w:ascii="Arial" w:eastAsia="Arial" w:hAnsi="Arial" w:cs="Arial"/>
          <w:color w:val="000000"/>
          <w:sz w:val="20"/>
          <w:szCs w:val="20"/>
        </w:rPr>
        <w:t>il beneficio del ravvedimento speciale può venire meno, con effetto retroattivo. Le principali cause ostative e di decadenza sono:</w:t>
      </w:r>
    </w:p>
    <w:p w14:paraId="5006389E" w14:textId="407A36BC" w:rsidR="00AE2F3A" w:rsidRPr="00064C81" w:rsidRDefault="00064C81" w:rsidP="009C475F">
      <w:pPr>
        <w:pStyle w:val="Paragrafoelenco"/>
        <w:numPr>
          <w:ilvl w:val="0"/>
          <w:numId w:val="13"/>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n</w:t>
      </w:r>
      <w:r w:rsidR="00AE2F3A" w:rsidRPr="00064C81">
        <w:rPr>
          <w:rFonts w:ascii="Arial" w:eastAsia="Arial" w:hAnsi="Arial" w:cs="Arial"/>
          <w:b/>
          <w:bCs/>
          <w:color w:val="000000"/>
          <w:sz w:val="20"/>
          <w:szCs w:val="20"/>
        </w:rPr>
        <w:t>otifica di atti prima del pagamento</w:t>
      </w:r>
      <w:r w:rsidR="00AE2F3A" w:rsidRPr="00064C81">
        <w:rPr>
          <w:rFonts w:ascii="Arial" w:eastAsia="Arial" w:hAnsi="Arial" w:cs="Arial"/>
          <w:color w:val="000000"/>
          <w:sz w:val="20"/>
          <w:szCs w:val="20"/>
        </w:rPr>
        <w:t>:</w:t>
      </w:r>
      <w:r>
        <w:rPr>
          <w:rFonts w:ascii="Arial" w:eastAsia="Arial" w:hAnsi="Arial" w:cs="Arial"/>
          <w:color w:val="000000"/>
          <w:sz w:val="20"/>
          <w:szCs w:val="20"/>
        </w:rPr>
        <w:t xml:space="preserve"> i</w:t>
      </w:r>
      <w:r w:rsidR="00AE2F3A" w:rsidRPr="00064C81">
        <w:rPr>
          <w:rFonts w:ascii="Arial" w:eastAsia="Arial" w:hAnsi="Arial" w:cs="Arial"/>
          <w:color w:val="000000"/>
          <w:sz w:val="20"/>
          <w:szCs w:val="20"/>
        </w:rPr>
        <w:t>l ravvedimento non si perfeziona se, prima del versamento dell’unica soluzione o della prima rata, viene notificato un processo verbale di constatazione, uno schema di atto di accertamento o un atto di recupero di crediti inesistenti</w:t>
      </w:r>
      <w:r>
        <w:rPr>
          <w:rFonts w:ascii="Arial" w:eastAsia="Arial" w:hAnsi="Arial" w:cs="Arial"/>
          <w:color w:val="000000"/>
          <w:sz w:val="20"/>
          <w:szCs w:val="20"/>
        </w:rPr>
        <w:t>;</w:t>
      </w:r>
    </w:p>
    <w:p w14:paraId="19B6D6B3" w14:textId="4413A9F7" w:rsidR="00AE2F3A" w:rsidRPr="00064C81" w:rsidRDefault="00064C81" w:rsidP="009C475F">
      <w:pPr>
        <w:pStyle w:val="Paragrafoelenco"/>
        <w:numPr>
          <w:ilvl w:val="0"/>
          <w:numId w:val="13"/>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d</w:t>
      </w:r>
      <w:r w:rsidR="00AE2F3A" w:rsidRPr="00064C81">
        <w:rPr>
          <w:rFonts w:ascii="Arial" w:eastAsia="Arial" w:hAnsi="Arial" w:cs="Arial"/>
          <w:b/>
          <w:bCs/>
          <w:color w:val="000000"/>
          <w:sz w:val="20"/>
          <w:szCs w:val="20"/>
        </w:rPr>
        <w:t>ecadenza dalla rateazione</w:t>
      </w:r>
      <w:r w:rsidR="00AE2F3A" w:rsidRPr="00064C81">
        <w:rPr>
          <w:rFonts w:ascii="Arial" w:eastAsia="Arial" w:hAnsi="Arial" w:cs="Arial"/>
          <w:color w:val="000000"/>
          <w:sz w:val="20"/>
          <w:szCs w:val="20"/>
        </w:rPr>
        <w:t>:</w:t>
      </w:r>
      <w:r>
        <w:rPr>
          <w:rFonts w:ascii="Arial" w:eastAsia="Arial" w:hAnsi="Arial" w:cs="Arial"/>
          <w:color w:val="000000"/>
          <w:sz w:val="20"/>
          <w:szCs w:val="20"/>
        </w:rPr>
        <w:t xml:space="preserve"> i</w:t>
      </w:r>
      <w:r w:rsidR="00AE2F3A" w:rsidRPr="00064C81">
        <w:rPr>
          <w:rFonts w:ascii="Arial" w:eastAsia="Arial" w:hAnsi="Arial" w:cs="Arial"/>
          <w:color w:val="000000"/>
          <w:sz w:val="20"/>
          <w:szCs w:val="20"/>
        </w:rPr>
        <w:t>l mancato o tardivo pagamento di una rata successiva alla prima fa decadere dai benefici per l’annualità in questione</w:t>
      </w:r>
      <w:r>
        <w:rPr>
          <w:rFonts w:ascii="Arial" w:eastAsia="Arial" w:hAnsi="Arial" w:cs="Arial"/>
          <w:color w:val="000000"/>
          <w:sz w:val="20"/>
          <w:szCs w:val="20"/>
        </w:rPr>
        <w:t>;</w:t>
      </w:r>
    </w:p>
    <w:p w14:paraId="16574794" w14:textId="077B182F" w:rsidR="00AE2F3A" w:rsidRPr="00064C81" w:rsidRDefault="00064C81" w:rsidP="009C475F">
      <w:pPr>
        <w:pStyle w:val="Paragrafoelenco"/>
        <w:numPr>
          <w:ilvl w:val="0"/>
          <w:numId w:val="13"/>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d</w:t>
      </w:r>
      <w:r w:rsidR="00AE2F3A" w:rsidRPr="00064C81">
        <w:rPr>
          <w:rFonts w:ascii="Arial" w:eastAsia="Arial" w:hAnsi="Arial" w:cs="Arial"/>
          <w:b/>
          <w:bCs/>
          <w:color w:val="000000"/>
          <w:sz w:val="20"/>
          <w:szCs w:val="20"/>
        </w:rPr>
        <w:t xml:space="preserve">ecadenza dal </w:t>
      </w:r>
      <w:r>
        <w:rPr>
          <w:rFonts w:ascii="Arial" w:eastAsia="Arial" w:hAnsi="Arial" w:cs="Arial"/>
          <w:b/>
          <w:bCs/>
          <w:color w:val="000000"/>
          <w:sz w:val="20"/>
          <w:szCs w:val="20"/>
        </w:rPr>
        <w:t>c</w:t>
      </w:r>
      <w:r w:rsidR="00AE2F3A" w:rsidRPr="00064C81">
        <w:rPr>
          <w:rFonts w:ascii="Arial" w:eastAsia="Arial" w:hAnsi="Arial" w:cs="Arial"/>
          <w:b/>
          <w:bCs/>
          <w:color w:val="000000"/>
          <w:sz w:val="20"/>
          <w:szCs w:val="20"/>
        </w:rPr>
        <w:t xml:space="preserve">oncordato </w:t>
      </w:r>
      <w:r>
        <w:rPr>
          <w:rFonts w:ascii="Arial" w:eastAsia="Arial" w:hAnsi="Arial" w:cs="Arial"/>
          <w:b/>
          <w:bCs/>
          <w:color w:val="000000"/>
          <w:sz w:val="20"/>
          <w:szCs w:val="20"/>
        </w:rPr>
        <w:t>p</w:t>
      </w:r>
      <w:r w:rsidR="00AE2F3A" w:rsidRPr="00064C81">
        <w:rPr>
          <w:rFonts w:ascii="Arial" w:eastAsia="Arial" w:hAnsi="Arial" w:cs="Arial"/>
          <w:b/>
          <w:bCs/>
          <w:color w:val="000000"/>
          <w:sz w:val="20"/>
          <w:szCs w:val="20"/>
        </w:rPr>
        <w:t xml:space="preserve">reventivo </w:t>
      </w:r>
      <w:r>
        <w:rPr>
          <w:rFonts w:ascii="Arial" w:eastAsia="Arial" w:hAnsi="Arial" w:cs="Arial"/>
          <w:b/>
          <w:bCs/>
          <w:color w:val="000000"/>
          <w:sz w:val="20"/>
          <w:szCs w:val="20"/>
        </w:rPr>
        <w:t>b</w:t>
      </w:r>
      <w:r w:rsidR="00AE2F3A" w:rsidRPr="00064C81">
        <w:rPr>
          <w:rFonts w:ascii="Arial" w:eastAsia="Arial" w:hAnsi="Arial" w:cs="Arial"/>
          <w:b/>
          <w:bCs/>
          <w:color w:val="000000"/>
          <w:sz w:val="20"/>
          <w:szCs w:val="20"/>
        </w:rPr>
        <w:t>iennale</w:t>
      </w:r>
      <w:r w:rsidR="00AE2F3A" w:rsidRPr="00064C81">
        <w:rPr>
          <w:rFonts w:ascii="Arial" w:eastAsia="Arial" w:hAnsi="Arial" w:cs="Arial"/>
          <w:color w:val="000000"/>
          <w:sz w:val="20"/>
          <w:szCs w:val="20"/>
        </w:rPr>
        <w:t>:</w:t>
      </w:r>
      <w:r>
        <w:rPr>
          <w:rFonts w:ascii="Arial" w:eastAsia="Arial" w:hAnsi="Arial" w:cs="Arial"/>
          <w:color w:val="000000"/>
          <w:sz w:val="20"/>
          <w:szCs w:val="20"/>
        </w:rPr>
        <w:t xml:space="preserve"> s</w:t>
      </w:r>
      <w:r w:rsidR="00AE2F3A" w:rsidRPr="00064C81">
        <w:rPr>
          <w:rFonts w:ascii="Arial" w:eastAsia="Arial" w:hAnsi="Arial" w:cs="Arial"/>
          <w:color w:val="000000"/>
          <w:sz w:val="20"/>
          <w:szCs w:val="20"/>
        </w:rPr>
        <w:t>e si decade dal CPB per una delle cause previste dalla legge, viene meno anche la copertura del ravvedimento speciale</w:t>
      </w:r>
      <w:r>
        <w:rPr>
          <w:rFonts w:ascii="Arial" w:eastAsia="Arial" w:hAnsi="Arial" w:cs="Arial"/>
          <w:color w:val="000000"/>
          <w:sz w:val="20"/>
          <w:szCs w:val="20"/>
        </w:rPr>
        <w:t>;</w:t>
      </w:r>
    </w:p>
    <w:p w14:paraId="2D61B53C" w14:textId="44F59548" w:rsidR="00AE2F3A" w:rsidRPr="00064C81" w:rsidRDefault="00064C81" w:rsidP="009C475F">
      <w:pPr>
        <w:pStyle w:val="Paragrafoelenco"/>
        <w:numPr>
          <w:ilvl w:val="0"/>
          <w:numId w:val="13"/>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Pr>
          <w:rFonts w:ascii="Arial" w:eastAsia="Arial" w:hAnsi="Arial" w:cs="Arial"/>
          <w:b/>
          <w:bCs/>
          <w:color w:val="000000"/>
          <w:sz w:val="20"/>
          <w:szCs w:val="20"/>
        </w:rPr>
        <w:t>p</w:t>
      </w:r>
      <w:r w:rsidR="00AE2F3A" w:rsidRPr="00064C81">
        <w:rPr>
          <w:rFonts w:ascii="Arial" w:eastAsia="Arial" w:hAnsi="Arial" w:cs="Arial"/>
          <w:b/>
          <w:bCs/>
          <w:color w:val="000000"/>
          <w:sz w:val="20"/>
          <w:szCs w:val="20"/>
        </w:rPr>
        <w:t>rocedimenti penali</w:t>
      </w:r>
      <w:r w:rsidR="00AE2F3A" w:rsidRPr="00064C81">
        <w:rPr>
          <w:rFonts w:ascii="Arial" w:eastAsia="Arial" w:hAnsi="Arial" w:cs="Arial"/>
          <w:color w:val="000000"/>
          <w:sz w:val="20"/>
          <w:szCs w:val="20"/>
        </w:rPr>
        <w:t>:</w:t>
      </w:r>
      <w:r>
        <w:rPr>
          <w:rFonts w:ascii="Arial" w:eastAsia="Arial" w:hAnsi="Arial" w:cs="Arial"/>
          <w:color w:val="000000"/>
          <w:sz w:val="20"/>
          <w:szCs w:val="20"/>
        </w:rPr>
        <w:t xml:space="preserve"> l</w:t>
      </w:r>
      <w:r w:rsidR="00AE2F3A" w:rsidRPr="00064C81">
        <w:rPr>
          <w:rFonts w:ascii="Arial" w:eastAsia="Arial" w:hAnsi="Arial" w:cs="Arial"/>
          <w:color w:val="000000"/>
          <w:sz w:val="20"/>
          <w:szCs w:val="20"/>
        </w:rPr>
        <w:t xml:space="preserve">’applicazione di una misura cautelare o il rinvio a giudizio per uno dei reati tributari previsti dal </w:t>
      </w:r>
      <w:proofErr w:type="spellStart"/>
      <w:r w:rsidR="00AE2F3A" w:rsidRPr="00064C81">
        <w:rPr>
          <w:rFonts w:ascii="Arial" w:eastAsia="Arial" w:hAnsi="Arial" w:cs="Arial"/>
          <w:color w:val="000000"/>
          <w:sz w:val="20"/>
          <w:szCs w:val="20"/>
        </w:rPr>
        <w:t>D.Lgs.</w:t>
      </w:r>
      <w:proofErr w:type="spellEnd"/>
      <w:r w:rsidR="00AE2F3A" w:rsidRPr="00064C81">
        <w:rPr>
          <w:rFonts w:ascii="Arial" w:eastAsia="Arial" w:hAnsi="Arial" w:cs="Arial"/>
          <w:color w:val="000000"/>
          <w:sz w:val="20"/>
          <w:szCs w:val="20"/>
        </w:rPr>
        <w:t xml:space="preserve"> </w:t>
      </w:r>
      <w:r w:rsidR="00E97BA8">
        <w:rPr>
          <w:rFonts w:ascii="Arial" w:eastAsia="Arial" w:hAnsi="Arial" w:cs="Arial"/>
          <w:color w:val="000000"/>
          <w:sz w:val="20"/>
          <w:szCs w:val="20"/>
        </w:rPr>
        <w:t xml:space="preserve">n. </w:t>
      </w:r>
      <w:r w:rsidR="00AE2F3A" w:rsidRPr="00064C81">
        <w:rPr>
          <w:rFonts w:ascii="Arial" w:eastAsia="Arial" w:hAnsi="Arial" w:cs="Arial"/>
          <w:color w:val="000000"/>
          <w:sz w:val="20"/>
          <w:szCs w:val="20"/>
        </w:rPr>
        <w:t>74/2000, commesso negli anni 2019-2023, fa decadere la sanatoria.</w:t>
      </w:r>
    </w:p>
    <w:p w14:paraId="187288AE" w14:textId="45D52DA0" w:rsidR="00AE2F3A" w:rsidRPr="00064C81" w:rsidRDefault="00064C81" w:rsidP="009C475F">
      <w:pPr>
        <w:pStyle w:val="Paragrafoelenco"/>
        <w:numPr>
          <w:ilvl w:val="0"/>
          <w:numId w:val="11"/>
        </w:numPr>
        <w:pBdr>
          <w:top w:val="nil"/>
          <w:left w:val="nil"/>
          <w:bottom w:val="nil"/>
          <w:right w:val="nil"/>
          <w:between w:val="nil"/>
        </w:pBdr>
        <w:spacing w:line="300" w:lineRule="atLeast"/>
        <w:ind w:leftChars="0" w:right="-30" w:firstLineChars="0"/>
        <w:jc w:val="both"/>
        <w:rPr>
          <w:rFonts w:ascii="Arial" w:eastAsia="Arial" w:hAnsi="Arial" w:cs="Arial"/>
          <w:color w:val="000000"/>
          <w:sz w:val="20"/>
          <w:szCs w:val="20"/>
        </w:rPr>
      </w:pPr>
      <w:r w:rsidRPr="00064C81">
        <w:rPr>
          <w:rFonts w:ascii="Arial" w:eastAsia="Arial" w:hAnsi="Arial" w:cs="Arial"/>
          <w:b/>
          <w:bCs/>
          <w:color w:val="000000"/>
          <w:sz w:val="20"/>
          <w:szCs w:val="20"/>
        </w:rPr>
        <w:t>P</w:t>
      </w:r>
      <w:r w:rsidR="00AE2F3A" w:rsidRPr="00064C81">
        <w:rPr>
          <w:rFonts w:ascii="Arial" w:eastAsia="Arial" w:hAnsi="Arial" w:cs="Arial"/>
          <w:b/>
          <w:bCs/>
          <w:color w:val="000000"/>
          <w:sz w:val="20"/>
          <w:szCs w:val="20"/>
        </w:rPr>
        <w:t xml:space="preserve">oteri </w:t>
      </w:r>
      <w:proofErr w:type="gramStart"/>
      <w:r w:rsidR="00AE2F3A" w:rsidRPr="00064C81">
        <w:rPr>
          <w:rFonts w:ascii="Arial" w:eastAsia="Arial" w:hAnsi="Arial" w:cs="Arial"/>
          <w:b/>
          <w:bCs/>
          <w:color w:val="000000"/>
          <w:sz w:val="20"/>
          <w:szCs w:val="20"/>
        </w:rPr>
        <w:t>istruttori comunque</w:t>
      </w:r>
      <w:proofErr w:type="gramEnd"/>
      <w:r w:rsidR="00AE2F3A" w:rsidRPr="00064C81">
        <w:rPr>
          <w:rFonts w:ascii="Arial" w:eastAsia="Arial" w:hAnsi="Arial" w:cs="Arial"/>
          <w:b/>
          <w:bCs/>
          <w:color w:val="000000"/>
          <w:sz w:val="20"/>
          <w:szCs w:val="20"/>
        </w:rPr>
        <w:t xml:space="preserve"> salvi</w:t>
      </w:r>
      <w:r w:rsidR="00AE2F3A" w:rsidRPr="00064C81">
        <w:rPr>
          <w:rFonts w:ascii="Arial" w:eastAsia="Arial" w:hAnsi="Arial" w:cs="Arial"/>
          <w:color w:val="000000"/>
          <w:sz w:val="20"/>
          <w:szCs w:val="20"/>
        </w:rPr>
        <w:t>:</w:t>
      </w:r>
      <w:r w:rsidR="00E97BA8">
        <w:rPr>
          <w:rFonts w:ascii="Arial" w:eastAsia="Arial" w:hAnsi="Arial" w:cs="Arial"/>
          <w:color w:val="000000"/>
          <w:sz w:val="20"/>
          <w:szCs w:val="20"/>
        </w:rPr>
        <w:t xml:space="preserve"> </w:t>
      </w:r>
      <w:r w:rsidR="00AE2F3A" w:rsidRPr="00064C81">
        <w:rPr>
          <w:rFonts w:ascii="Arial" w:eastAsia="Arial" w:hAnsi="Arial" w:cs="Arial"/>
          <w:color w:val="000000"/>
          <w:sz w:val="20"/>
          <w:szCs w:val="20"/>
        </w:rPr>
        <w:t xml:space="preserve">anche per gli anni sanati, l’Agenzia </w:t>
      </w:r>
      <w:r w:rsidR="00E97BA8">
        <w:rPr>
          <w:rFonts w:ascii="Arial" w:eastAsia="Arial" w:hAnsi="Arial" w:cs="Arial"/>
          <w:color w:val="000000"/>
          <w:sz w:val="20"/>
          <w:szCs w:val="20"/>
        </w:rPr>
        <w:t xml:space="preserve">delle </w:t>
      </w:r>
      <w:r w:rsidR="00AE2F3A" w:rsidRPr="00064C81">
        <w:rPr>
          <w:rFonts w:ascii="Arial" w:eastAsia="Arial" w:hAnsi="Arial" w:cs="Arial"/>
          <w:color w:val="000000"/>
          <w:sz w:val="20"/>
          <w:szCs w:val="20"/>
        </w:rPr>
        <w:t>Entrate e la Guardia di Finanza possono sempre richiedere documenti, inviare questionari ed effettuare accessi presso la sede del contribuente per verifiche e controlli.</w:t>
      </w:r>
    </w:p>
    <w:p w14:paraId="7CF2326E" w14:textId="77777777" w:rsidR="00AE2F3A" w:rsidRPr="00AE2F3A" w:rsidRDefault="00AE2F3A" w:rsidP="00064C81">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r w:rsidRPr="00AE2F3A">
        <w:rPr>
          <w:rFonts w:ascii="Arial" w:eastAsia="Arial" w:hAnsi="Arial" w:cs="Arial"/>
          <w:color w:val="000000"/>
          <w:sz w:val="20"/>
          <w:szCs w:val="20"/>
        </w:rPr>
        <w:t>In conclusione, il ravvedimento speciale per il quinquennio 2019-2023 rappresenta un’importante opportunità di “pulizia fiscale” per chi sceglie la via del concordato. Tuttavia, la decisione deve essere ponderata attentamente, analizzando la propria situazione specifica e considerando che la protezione offerta non è assoluta e che i benefici sono strettamente condizionati al corretto adempimento degli obblighi futuri, sia del ravvedimento stesso sia del concordato.</w:t>
      </w:r>
    </w:p>
    <w:p w14:paraId="00CFF3C7" w14:textId="1E23ABB0" w:rsidR="002E11D4" w:rsidRDefault="002E11D4" w:rsidP="00064C81">
      <w:pPr>
        <w:pBdr>
          <w:top w:val="nil"/>
          <w:left w:val="nil"/>
          <w:bottom w:val="nil"/>
          <w:right w:val="nil"/>
          <w:between w:val="nil"/>
        </w:pBdr>
        <w:spacing w:line="300" w:lineRule="atLeast"/>
        <w:ind w:left="0" w:right="-30" w:hanging="2"/>
        <w:jc w:val="both"/>
        <w:rPr>
          <w:rFonts w:ascii="Arial" w:eastAsia="Arial" w:hAnsi="Arial" w:cs="Arial"/>
          <w:color w:val="000000"/>
          <w:sz w:val="20"/>
          <w:szCs w:val="20"/>
        </w:rPr>
      </w:pPr>
    </w:p>
    <w:p w14:paraId="6024908B" w14:textId="3018B5C8" w:rsidR="00E97BA8" w:rsidRDefault="00E97BA8" w:rsidP="00064C81">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Pr>
          <w:rFonts w:ascii="Arial" w:eastAsia="Arial" w:hAnsi="Arial" w:cs="Arial"/>
          <w:color w:val="000000"/>
          <w:sz w:val="20"/>
          <w:szCs w:val="20"/>
        </w:rPr>
        <w:br w:type="page"/>
      </w:r>
    </w:p>
    <w:p w14:paraId="3F028ABB" w14:textId="77777777" w:rsidR="00AE2F3A" w:rsidRPr="00100FD3" w:rsidRDefault="00AE2F3A" w:rsidP="00064C81">
      <w:pPr>
        <w:pBdr>
          <w:top w:val="nil"/>
          <w:left w:val="nil"/>
          <w:bottom w:val="nil"/>
          <w:right w:val="nil"/>
          <w:between w:val="nil"/>
        </w:pBdr>
        <w:spacing w:line="300" w:lineRule="atLeast"/>
        <w:ind w:left="0" w:hanging="2"/>
        <w:jc w:val="both"/>
        <w:rPr>
          <w:rFonts w:ascii="Arial" w:eastAsia="Arial" w:hAnsi="Arial" w:cs="Arial"/>
          <w:color w:val="000000"/>
          <w:sz w:val="20"/>
          <w:szCs w:val="20"/>
        </w:rPr>
      </w:pPr>
    </w:p>
    <w:tbl>
      <w:tblPr>
        <w:tblStyle w:val="a4"/>
        <w:tblW w:w="10625" w:type="dxa"/>
        <w:tblInd w:w="0" w:type="dxa"/>
        <w:tblLayout w:type="fixed"/>
        <w:tblLook w:val="0000" w:firstRow="0" w:lastRow="0" w:firstColumn="0" w:lastColumn="0" w:noHBand="0" w:noVBand="0"/>
      </w:tblPr>
      <w:tblGrid>
        <w:gridCol w:w="3700"/>
        <w:gridCol w:w="1120"/>
        <w:gridCol w:w="5805"/>
      </w:tblGrid>
      <w:tr w:rsidR="00AE2F3A" w14:paraId="659B87F5" w14:textId="77777777" w:rsidTr="004C4DFF">
        <w:trPr>
          <w:trHeight w:val="255"/>
        </w:trPr>
        <w:tc>
          <w:tcPr>
            <w:tcW w:w="10625" w:type="dxa"/>
            <w:gridSpan w:val="3"/>
            <w:tcBorders>
              <w:top w:val="nil"/>
              <w:left w:val="nil"/>
              <w:bottom w:val="nil"/>
              <w:right w:val="nil"/>
            </w:tcBorders>
          </w:tcPr>
          <w:p w14:paraId="75CA1BDB"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PROFILO</w:t>
            </w:r>
          </w:p>
        </w:tc>
      </w:tr>
      <w:tr w:rsidR="00AE2F3A" w14:paraId="2E27D32C" w14:textId="77777777" w:rsidTr="004C4DFF">
        <w:trPr>
          <w:trHeight w:val="255"/>
        </w:trPr>
        <w:tc>
          <w:tcPr>
            <w:tcW w:w="10625" w:type="dxa"/>
            <w:gridSpan w:val="3"/>
            <w:tcBorders>
              <w:top w:val="nil"/>
              <w:left w:val="nil"/>
              <w:bottom w:val="nil"/>
              <w:right w:val="nil"/>
            </w:tcBorders>
          </w:tcPr>
          <w:p w14:paraId="1ABBB552"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255441">
              <w:rPr>
                <w:rFonts w:ascii="Calibri" w:eastAsia="Calibri" w:hAnsi="Calibri" w:cs="Calibri"/>
                <w:color w:val="330033"/>
                <w:sz w:val="20"/>
                <w:szCs w:val="20"/>
                <w:highlight w:val="green"/>
              </w:rPr>
              <w:t>Consorzi</w:t>
            </w:r>
          </w:p>
        </w:tc>
      </w:tr>
      <w:tr w:rsidR="00AE2F3A" w14:paraId="61FA8BC2" w14:textId="77777777" w:rsidTr="004C4DFF">
        <w:trPr>
          <w:trHeight w:val="255"/>
        </w:trPr>
        <w:tc>
          <w:tcPr>
            <w:tcW w:w="10625" w:type="dxa"/>
            <w:gridSpan w:val="3"/>
            <w:tcBorders>
              <w:top w:val="nil"/>
              <w:left w:val="nil"/>
              <w:bottom w:val="nil"/>
              <w:right w:val="nil"/>
            </w:tcBorders>
          </w:tcPr>
          <w:p w14:paraId="48DD044B"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Condomini</w:t>
            </w:r>
          </w:p>
        </w:tc>
      </w:tr>
      <w:tr w:rsidR="00AE2F3A" w14:paraId="501EB82A" w14:textId="77777777" w:rsidTr="004C4DFF">
        <w:trPr>
          <w:trHeight w:val="255"/>
        </w:trPr>
        <w:tc>
          <w:tcPr>
            <w:tcW w:w="10625" w:type="dxa"/>
            <w:gridSpan w:val="3"/>
            <w:tcBorders>
              <w:top w:val="nil"/>
              <w:left w:val="nil"/>
              <w:bottom w:val="nil"/>
              <w:right w:val="nil"/>
            </w:tcBorders>
          </w:tcPr>
          <w:p w14:paraId="63D07B80"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AE2F3A">
              <w:rPr>
                <w:rFonts w:ascii="Calibri" w:eastAsia="Calibri" w:hAnsi="Calibri" w:cs="Calibri"/>
                <w:color w:val="330033"/>
                <w:sz w:val="20"/>
                <w:szCs w:val="20"/>
                <w:highlight w:val="green"/>
              </w:rPr>
              <w:t xml:space="preserve">Enti </w:t>
            </w:r>
            <w:proofErr w:type="spellStart"/>
            <w:r w:rsidRPr="00AE2F3A">
              <w:rPr>
                <w:rFonts w:ascii="Calibri" w:eastAsia="Calibri" w:hAnsi="Calibri" w:cs="Calibri"/>
                <w:color w:val="330033"/>
                <w:sz w:val="20"/>
                <w:szCs w:val="20"/>
                <w:highlight w:val="green"/>
              </w:rPr>
              <w:t>no</w:t>
            </w:r>
            <w:proofErr w:type="spellEnd"/>
            <w:r w:rsidRPr="00AE2F3A">
              <w:rPr>
                <w:rFonts w:ascii="Calibri" w:eastAsia="Calibri" w:hAnsi="Calibri" w:cs="Calibri"/>
                <w:color w:val="330033"/>
                <w:sz w:val="20"/>
                <w:szCs w:val="20"/>
                <w:highlight w:val="green"/>
              </w:rPr>
              <w:t xml:space="preserve"> profit</w:t>
            </w:r>
          </w:p>
        </w:tc>
      </w:tr>
      <w:tr w:rsidR="00AE2F3A" w14:paraId="253D47FB" w14:textId="77777777" w:rsidTr="004C4DFF">
        <w:trPr>
          <w:trHeight w:val="255"/>
        </w:trPr>
        <w:tc>
          <w:tcPr>
            <w:tcW w:w="10625" w:type="dxa"/>
            <w:gridSpan w:val="3"/>
            <w:tcBorders>
              <w:top w:val="nil"/>
              <w:left w:val="nil"/>
              <w:bottom w:val="nil"/>
              <w:right w:val="nil"/>
            </w:tcBorders>
          </w:tcPr>
          <w:p w14:paraId="458BF4DB"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sidRPr="00255441">
              <w:rPr>
                <w:rFonts w:ascii="Calibri" w:eastAsia="Calibri" w:hAnsi="Calibri" w:cs="Calibri"/>
                <w:color w:val="330033"/>
                <w:sz w:val="20"/>
                <w:szCs w:val="20"/>
                <w:highlight w:val="green"/>
              </w:rPr>
              <w:t>Imprese</w:t>
            </w:r>
          </w:p>
        </w:tc>
      </w:tr>
      <w:tr w:rsidR="00AE2F3A" w14:paraId="6C753EC8" w14:textId="77777777" w:rsidTr="004C4DFF">
        <w:trPr>
          <w:trHeight w:val="255"/>
        </w:trPr>
        <w:tc>
          <w:tcPr>
            <w:tcW w:w="10625" w:type="dxa"/>
            <w:gridSpan w:val="3"/>
            <w:tcBorders>
              <w:top w:val="nil"/>
              <w:left w:val="nil"/>
              <w:bottom w:val="nil"/>
              <w:right w:val="nil"/>
            </w:tcBorders>
          </w:tcPr>
          <w:p w14:paraId="3AFF3A88"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highlight w:val="green"/>
              </w:rPr>
              <w:t>Lavoratori autonomi</w:t>
            </w:r>
          </w:p>
        </w:tc>
      </w:tr>
      <w:tr w:rsidR="00AE2F3A" w14:paraId="51E0E184" w14:textId="77777777" w:rsidTr="004C4DFF">
        <w:trPr>
          <w:trHeight w:val="255"/>
        </w:trPr>
        <w:tc>
          <w:tcPr>
            <w:tcW w:w="10625" w:type="dxa"/>
            <w:gridSpan w:val="3"/>
            <w:tcBorders>
              <w:top w:val="nil"/>
              <w:left w:val="nil"/>
              <w:bottom w:val="nil"/>
              <w:right w:val="nil"/>
            </w:tcBorders>
          </w:tcPr>
          <w:p w14:paraId="68F67484" w14:textId="77777777" w:rsidR="00AE2F3A"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rPr>
            </w:pPr>
            <w:r>
              <w:rPr>
                <w:rFonts w:ascii="Calibri" w:eastAsia="Calibri" w:hAnsi="Calibri" w:cs="Calibri"/>
                <w:color w:val="330033"/>
                <w:sz w:val="20"/>
                <w:szCs w:val="20"/>
              </w:rPr>
              <w:t>Persone fisiche</w:t>
            </w:r>
          </w:p>
        </w:tc>
      </w:tr>
      <w:tr w:rsidR="00AE2F3A" w14:paraId="7C90C3CD" w14:textId="77777777" w:rsidTr="004C4DFF">
        <w:trPr>
          <w:trHeight w:val="255"/>
        </w:trPr>
        <w:tc>
          <w:tcPr>
            <w:tcW w:w="10625" w:type="dxa"/>
            <w:gridSpan w:val="3"/>
            <w:tcBorders>
              <w:top w:val="nil"/>
              <w:left w:val="nil"/>
              <w:bottom w:val="nil"/>
              <w:right w:val="nil"/>
            </w:tcBorders>
          </w:tcPr>
          <w:p w14:paraId="3B385E91" w14:textId="77777777" w:rsidR="00AE2F3A" w:rsidRPr="00255441"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55441">
              <w:rPr>
                <w:rFonts w:ascii="Calibri" w:eastAsia="Calibri" w:hAnsi="Calibri" w:cs="Calibri"/>
                <w:color w:val="330033"/>
                <w:sz w:val="20"/>
                <w:szCs w:val="20"/>
                <w:highlight w:val="green"/>
              </w:rPr>
              <w:t>Società di capitali</w:t>
            </w:r>
          </w:p>
        </w:tc>
      </w:tr>
      <w:tr w:rsidR="00AE2F3A" w14:paraId="23C1BCF5" w14:textId="77777777" w:rsidTr="004C4DFF">
        <w:trPr>
          <w:trHeight w:val="255"/>
        </w:trPr>
        <w:tc>
          <w:tcPr>
            <w:tcW w:w="10625" w:type="dxa"/>
            <w:gridSpan w:val="3"/>
            <w:tcBorders>
              <w:top w:val="nil"/>
              <w:left w:val="nil"/>
              <w:bottom w:val="nil"/>
              <w:right w:val="nil"/>
            </w:tcBorders>
          </w:tcPr>
          <w:p w14:paraId="58B49B96" w14:textId="77777777" w:rsidR="00AE2F3A" w:rsidRPr="00255441" w:rsidRDefault="00AE2F3A" w:rsidP="004C4DFF">
            <w:pPr>
              <w:pBdr>
                <w:top w:val="nil"/>
                <w:left w:val="nil"/>
                <w:bottom w:val="nil"/>
                <w:right w:val="nil"/>
                <w:between w:val="nil"/>
              </w:pBdr>
              <w:spacing w:line="240" w:lineRule="auto"/>
              <w:ind w:left="0" w:hanging="2"/>
              <w:rPr>
                <w:rFonts w:ascii="Calibri" w:eastAsia="Calibri" w:hAnsi="Calibri" w:cs="Calibri"/>
                <w:color w:val="330033"/>
                <w:sz w:val="20"/>
                <w:szCs w:val="20"/>
                <w:highlight w:val="green"/>
              </w:rPr>
            </w:pPr>
            <w:r w:rsidRPr="00255441">
              <w:rPr>
                <w:rFonts w:ascii="Calibri" w:eastAsia="Calibri" w:hAnsi="Calibri" w:cs="Calibri"/>
                <w:color w:val="330033"/>
                <w:sz w:val="20"/>
                <w:szCs w:val="20"/>
                <w:highlight w:val="green"/>
              </w:rPr>
              <w:t>Società di persone</w:t>
            </w:r>
          </w:p>
        </w:tc>
      </w:tr>
      <w:tr w:rsidR="00AE2F3A" w14:paraId="2221924A" w14:textId="77777777" w:rsidTr="004C4DFF">
        <w:trPr>
          <w:trHeight w:val="315"/>
        </w:trPr>
        <w:tc>
          <w:tcPr>
            <w:tcW w:w="3700" w:type="dxa"/>
            <w:tcBorders>
              <w:top w:val="single" w:sz="4" w:space="0" w:color="000000"/>
              <w:left w:val="single" w:sz="4" w:space="0" w:color="000000"/>
              <w:bottom w:val="single" w:sz="12" w:space="0" w:color="000000"/>
              <w:right w:val="single" w:sz="4" w:space="0" w:color="000000"/>
            </w:tcBorders>
          </w:tcPr>
          <w:p w14:paraId="5A7AD952" w14:textId="77777777" w:rsidR="00AE2F3A" w:rsidRDefault="00AE2F3A" w:rsidP="004C4DF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c>
          <w:tcPr>
            <w:tcW w:w="1120" w:type="dxa"/>
            <w:tcBorders>
              <w:top w:val="single" w:sz="4" w:space="0" w:color="000000"/>
              <w:left w:val="nil"/>
              <w:bottom w:val="single" w:sz="12" w:space="0" w:color="000000"/>
              <w:right w:val="single" w:sz="4" w:space="0" w:color="000000"/>
            </w:tcBorders>
          </w:tcPr>
          <w:p w14:paraId="35F00238" w14:textId="77777777" w:rsidR="00AE2F3A" w:rsidRDefault="00AE2F3A" w:rsidP="004C4DFF">
            <w:pPr>
              <w:pBdr>
                <w:top w:val="nil"/>
                <w:left w:val="nil"/>
                <w:bottom w:val="nil"/>
                <w:right w:val="nil"/>
                <w:between w:val="nil"/>
              </w:pBdr>
              <w:spacing w:line="240" w:lineRule="auto"/>
              <w:ind w:left="0" w:hanging="2"/>
              <w:jc w:val="center"/>
              <w:rPr>
                <w:rFonts w:ascii="Trebuchet MS" w:eastAsia="Trebuchet MS" w:hAnsi="Trebuchet MS" w:cs="Trebuchet MS"/>
                <w:color w:val="000000"/>
                <w:sz w:val="18"/>
                <w:szCs w:val="18"/>
              </w:rPr>
            </w:pPr>
          </w:p>
        </w:tc>
        <w:tc>
          <w:tcPr>
            <w:tcW w:w="5805" w:type="dxa"/>
            <w:tcBorders>
              <w:top w:val="single" w:sz="4" w:space="0" w:color="000000"/>
              <w:left w:val="nil"/>
              <w:bottom w:val="single" w:sz="12" w:space="0" w:color="000000"/>
              <w:right w:val="single" w:sz="4" w:space="0" w:color="000000"/>
            </w:tcBorders>
          </w:tcPr>
          <w:p w14:paraId="5391F99B" w14:textId="77777777" w:rsidR="00AE2F3A" w:rsidRDefault="00AE2F3A" w:rsidP="004C4DFF">
            <w:pPr>
              <w:pBdr>
                <w:top w:val="nil"/>
                <w:left w:val="nil"/>
                <w:bottom w:val="nil"/>
                <w:right w:val="nil"/>
                <w:between w:val="nil"/>
              </w:pBdr>
              <w:spacing w:line="240" w:lineRule="auto"/>
              <w:ind w:left="0" w:hanging="2"/>
              <w:rPr>
                <w:rFonts w:ascii="Trebuchet MS" w:eastAsia="Trebuchet MS" w:hAnsi="Trebuchet MS" w:cs="Trebuchet MS"/>
                <w:color w:val="000000"/>
                <w:sz w:val="18"/>
                <w:szCs w:val="18"/>
              </w:rPr>
            </w:pPr>
          </w:p>
        </w:tc>
      </w:tr>
    </w:tbl>
    <w:p w14:paraId="7CF5F8B2" w14:textId="77777777" w:rsidR="00AE2F3A" w:rsidRDefault="00AE2F3A" w:rsidP="00E97BA8">
      <w:pPr>
        <w:pBdr>
          <w:top w:val="nil"/>
          <w:left w:val="nil"/>
          <w:bottom w:val="nil"/>
          <w:right w:val="nil"/>
          <w:between w:val="nil"/>
        </w:pBdr>
        <w:spacing w:line="300" w:lineRule="atLeast"/>
        <w:ind w:left="0" w:hanging="2"/>
        <w:jc w:val="both"/>
        <w:rPr>
          <w:rFonts w:ascii="Arial" w:eastAsia="Arial" w:hAnsi="Arial" w:cs="Arial"/>
          <w:color w:val="000000"/>
          <w:sz w:val="20"/>
          <w:szCs w:val="20"/>
        </w:rPr>
      </w:pPr>
    </w:p>
    <w:p w14:paraId="439CFCDF" w14:textId="77777777" w:rsidR="00E97BA8" w:rsidRPr="00855112" w:rsidRDefault="00E97BA8" w:rsidP="00143E04">
      <w:pPr>
        <w:shd w:val="clear" w:color="auto" w:fill="FFFFFF"/>
        <w:overflowPunct w:val="0"/>
        <w:autoSpaceDE w:val="0"/>
        <w:autoSpaceDN w:val="0"/>
        <w:adjustRightInd w:val="0"/>
        <w:spacing w:line="300" w:lineRule="atLeast"/>
        <w:ind w:left="0" w:hanging="2"/>
        <w:jc w:val="center"/>
        <w:textAlignment w:val="baseline"/>
        <w:rPr>
          <w:rFonts w:ascii="Calibri" w:hAnsi="Calibri" w:cs="Arial"/>
          <w:color w:val="0F0F0F"/>
          <w:sz w:val="20"/>
          <w:szCs w:val="20"/>
        </w:rPr>
      </w:pPr>
      <w:r w:rsidRPr="00855112">
        <w:rPr>
          <w:rFonts w:ascii="Calibri" w:hAnsi="Calibri" w:cs="Arial"/>
          <w:color w:val="0F0F0F"/>
          <w:sz w:val="20"/>
          <w:szCs w:val="20"/>
        </w:rPr>
        <w:t>IVA</w:t>
      </w:r>
    </w:p>
    <w:p w14:paraId="789DBD71" w14:textId="21191E0D" w:rsidR="00E97BA8" w:rsidRPr="00855112" w:rsidRDefault="00E97BA8" w:rsidP="00143E04">
      <w:pPr>
        <w:pBdr>
          <w:top w:val="nil"/>
          <w:left w:val="nil"/>
          <w:bottom w:val="nil"/>
          <w:right w:val="nil"/>
          <w:between w:val="nil"/>
        </w:pBdr>
        <w:tabs>
          <w:tab w:val="left" w:pos="2160"/>
          <w:tab w:val="left" w:pos="3168"/>
          <w:tab w:val="left" w:pos="4838"/>
        </w:tabs>
        <w:spacing w:line="300" w:lineRule="atLeast"/>
        <w:ind w:left="0" w:hanging="2"/>
        <w:jc w:val="center"/>
        <w:rPr>
          <w:rFonts w:ascii="Arial" w:eastAsia="Arial" w:hAnsi="Arial" w:cs="Arial"/>
          <w:b/>
          <w:bCs/>
          <w:color w:val="000000"/>
          <w:sz w:val="20"/>
          <w:szCs w:val="20"/>
        </w:rPr>
      </w:pPr>
      <w:r w:rsidRPr="00855112">
        <w:rPr>
          <w:rFonts w:ascii="Arial" w:eastAsia="Arial" w:hAnsi="Arial" w:cs="Arial"/>
          <w:b/>
          <w:bCs/>
          <w:color w:val="000000"/>
          <w:sz w:val="20"/>
          <w:szCs w:val="20"/>
        </w:rPr>
        <w:t>Dichiarazione d’intento omessa o tardiva</w:t>
      </w:r>
      <w:r>
        <w:rPr>
          <w:rFonts w:ascii="Arial" w:eastAsia="Arial" w:hAnsi="Arial" w:cs="Arial"/>
          <w:b/>
          <w:bCs/>
          <w:color w:val="000000"/>
          <w:sz w:val="20"/>
          <w:szCs w:val="20"/>
        </w:rPr>
        <w:t>:</w:t>
      </w:r>
      <w:r w:rsidRPr="00E97BA8">
        <w:rPr>
          <w:rFonts w:ascii="Arial" w:eastAsia="Arial" w:hAnsi="Arial" w:cs="Arial"/>
          <w:b/>
          <w:bCs/>
          <w:color w:val="000000"/>
          <w:sz w:val="20"/>
          <w:szCs w:val="20"/>
        </w:rPr>
        <w:t xml:space="preserve"> rischi e soluzioni per il fornitore</w:t>
      </w:r>
    </w:p>
    <w:p w14:paraId="56798E5D" w14:textId="77777777" w:rsidR="00E97BA8" w:rsidRPr="00855112" w:rsidRDefault="00E97BA8"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855112">
        <w:rPr>
          <w:rFonts w:ascii="Arial" w:eastAsia="Arial" w:hAnsi="Arial" w:cs="Arial"/>
          <w:color w:val="000000"/>
          <w:sz w:val="20"/>
          <w:szCs w:val="20"/>
        </w:rPr>
        <w:t>Nel sistema IVA italiano, gli esportatori abituali beneficiano di un importante regime di favore: la possibilità di acquistare beni e servizi senza l’applicazione dell’imposta, utilizzando un apposito “plafond”. Strumento essenziale di questo meccanismo è la</w:t>
      </w:r>
      <w:r>
        <w:rPr>
          <w:rFonts w:ascii="Arial" w:eastAsia="Arial" w:hAnsi="Arial" w:cs="Arial"/>
          <w:color w:val="000000"/>
          <w:sz w:val="20"/>
          <w:szCs w:val="20"/>
        </w:rPr>
        <w:t xml:space="preserve"> </w:t>
      </w:r>
      <w:r w:rsidRPr="00855112">
        <w:rPr>
          <w:rFonts w:ascii="Arial" w:eastAsia="Arial" w:hAnsi="Arial" w:cs="Arial"/>
          <w:color w:val="000000"/>
          <w:sz w:val="20"/>
          <w:szCs w:val="20"/>
        </w:rPr>
        <w:t>dichiarazione d’intento, un documento con cui l’esportatore comunica al proprio fornitore la sua volontà di avvalersi di tale facoltà.</w:t>
      </w:r>
    </w:p>
    <w:p w14:paraId="1057586F" w14:textId="77777777" w:rsidR="00E97BA8" w:rsidRPr="00855112" w:rsidRDefault="00E97BA8"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855112">
        <w:rPr>
          <w:rFonts w:ascii="Arial" w:eastAsia="Arial" w:hAnsi="Arial" w:cs="Arial"/>
          <w:color w:val="000000"/>
          <w:sz w:val="20"/>
          <w:szCs w:val="20"/>
        </w:rPr>
        <w:t xml:space="preserve">Tuttavia, la procedura, oggi interamente telematica, impone </w:t>
      </w:r>
      <w:r w:rsidRPr="00A4723D">
        <w:rPr>
          <w:rFonts w:ascii="Arial" w:eastAsia="Arial" w:hAnsi="Arial" w:cs="Arial"/>
          <w:b/>
          <w:bCs/>
          <w:color w:val="000000"/>
          <w:sz w:val="20"/>
          <w:szCs w:val="20"/>
        </w:rPr>
        <w:t>obblighi precisi</w:t>
      </w:r>
      <w:r w:rsidRPr="00855112">
        <w:rPr>
          <w:rFonts w:ascii="Arial" w:eastAsia="Arial" w:hAnsi="Arial" w:cs="Arial"/>
          <w:color w:val="000000"/>
          <w:sz w:val="20"/>
          <w:szCs w:val="20"/>
        </w:rPr>
        <w:t xml:space="preserve"> non solo all’esportatore ma, soprattutto, al fornitore. L’emissione di una fattura in regime di non imponibilità IVA senza aver rispettato scrupolosamente l’iter previsto espone il fornitore a rischi finanziari significativi.</w:t>
      </w:r>
    </w:p>
    <w:p w14:paraId="63F638A9"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Vediamo in dettaglio quali sono le criticità e quali le vie d’uscita per sanare eventuali errori.</w:t>
      </w:r>
    </w:p>
    <w:p w14:paraId="1C77648B"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61D9DCB4" w14:textId="3726C674"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54363F">
        <w:rPr>
          <w:rFonts w:ascii="Arial" w:eastAsia="Arial" w:hAnsi="Arial" w:cs="Arial"/>
          <w:b/>
          <w:bCs/>
          <w:color w:val="000000"/>
          <w:sz w:val="20"/>
          <w:szCs w:val="20"/>
        </w:rPr>
        <w:t xml:space="preserve">I </w:t>
      </w:r>
      <w:r w:rsidR="00374496" w:rsidRPr="0054363F">
        <w:rPr>
          <w:rFonts w:ascii="Arial" w:eastAsia="Arial" w:hAnsi="Arial" w:cs="Arial"/>
          <w:b/>
          <w:bCs/>
          <w:color w:val="000000"/>
          <w:sz w:val="20"/>
          <w:szCs w:val="20"/>
        </w:rPr>
        <w:t>r</w:t>
      </w:r>
      <w:r w:rsidRPr="0054363F">
        <w:rPr>
          <w:rFonts w:ascii="Arial" w:eastAsia="Arial" w:hAnsi="Arial" w:cs="Arial"/>
          <w:b/>
          <w:bCs/>
          <w:color w:val="000000"/>
          <w:sz w:val="20"/>
          <w:szCs w:val="20"/>
        </w:rPr>
        <w:t>ischi e le sanzioni: cosa accade se si emette fattura prima del tempo</w:t>
      </w:r>
    </w:p>
    <w:p w14:paraId="29E19EA2" w14:textId="5C594FD0"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 xml:space="preserve">Il punto cruciale della procedura riguarda la tempistica e la verifica. L’esportatore abituale (il cliente) ha l’obbligo di trasmettere telematicamente la dichiarazione d’intento all’Agenzia </w:t>
      </w:r>
      <w:r w:rsidR="0054363F">
        <w:rPr>
          <w:rFonts w:ascii="Arial" w:eastAsia="Arial" w:hAnsi="Arial" w:cs="Arial"/>
          <w:color w:val="000000"/>
          <w:sz w:val="20"/>
          <w:szCs w:val="20"/>
        </w:rPr>
        <w:t xml:space="preserve">delle </w:t>
      </w:r>
      <w:r w:rsidRPr="00E97BA8">
        <w:rPr>
          <w:rFonts w:ascii="Arial" w:eastAsia="Arial" w:hAnsi="Arial" w:cs="Arial"/>
          <w:color w:val="000000"/>
          <w:sz w:val="20"/>
          <w:szCs w:val="20"/>
        </w:rPr>
        <w:t>Entrate.</w:t>
      </w:r>
    </w:p>
    <w:p w14:paraId="7DF4C91E" w14:textId="4EA0A535"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Il fornitore, a sua volta, prima di emettere la fattura non imponibile, ha l’</w:t>
      </w:r>
      <w:r w:rsidRPr="0054363F">
        <w:rPr>
          <w:rFonts w:ascii="Arial" w:eastAsia="Arial" w:hAnsi="Arial" w:cs="Arial"/>
          <w:b/>
          <w:bCs/>
          <w:color w:val="000000"/>
          <w:sz w:val="20"/>
          <w:szCs w:val="20"/>
        </w:rPr>
        <w:t>obbligo</w:t>
      </w:r>
      <w:r w:rsidR="0054363F" w:rsidRPr="0054363F">
        <w:rPr>
          <w:rFonts w:ascii="Arial" w:eastAsia="Arial" w:hAnsi="Arial" w:cs="Arial"/>
          <w:b/>
          <w:bCs/>
          <w:color w:val="000000"/>
          <w:sz w:val="20"/>
          <w:szCs w:val="20"/>
        </w:rPr>
        <w:t xml:space="preserve"> </w:t>
      </w:r>
      <w:r w:rsidRPr="0054363F">
        <w:rPr>
          <w:rFonts w:ascii="Arial" w:eastAsia="Arial" w:hAnsi="Arial" w:cs="Arial"/>
          <w:b/>
          <w:bCs/>
          <w:color w:val="000000"/>
          <w:sz w:val="20"/>
          <w:szCs w:val="20"/>
        </w:rPr>
        <w:t>inderogabile</w:t>
      </w:r>
      <w:r w:rsidR="0054363F" w:rsidRPr="0054363F">
        <w:rPr>
          <w:rFonts w:ascii="Arial" w:eastAsia="Arial" w:hAnsi="Arial" w:cs="Arial"/>
          <w:b/>
          <w:bCs/>
          <w:color w:val="000000"/>
          <w:sz w:val="20"/>
          <w:szCs w:val="20"/>
        </w:rPr>
        <w:t xml:space="preserve"> </w:t>
      </w:r>
      <w:r w:rsidRPr="0054363F">
        <w:rPr>
          <w:rFonts w:ascii="Arial" w:eastAsia="Arial" w:hAnsi="Arial" w:cs="Arial"/>
          <w:b/>
          <w:bCs/>
          <w:color w:val="000000"/>
          <w:sz w:val="20"/>
          <w:szCs w:val="20"/>
        </w:rPr>
        <w:t>di verificare l’avvenuta presentazione della dichiarazione</w:t>
      </w:r>
      <w:r w:rsidRPr="00E97BA8">
        <w:rPr>
          <w:rFonts w:ascii="Arial" w:eastAsia="Arial" w:hAnsi="Arial" w:cs="Arial"/>
          <w:color w:val="000000"/>
          <w:sz w:val="20"/>
          <w:szCs w:val="20"/>
        </w:rPr>
        <w:t xml:space="preserve"> e la relativa ricevuta telematica sul sito dell’Agenzia.</w:t>
      </w:r>
    </w:p>
    <w:p w14:paraId="32D47B09"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Se il fornitore emette la fattura senza IVA prima che il suo cliente abbia trasmesso la dichiarazione, o comunque senza averne prima verificato l’esito positivo, diventa l’unico responsabile della violazione. Le conseguenze sono molto pesanti:</w:t>
      </w:r>
    </w:p>
    <w:p w14:paraId="1C80DAC5" w14:textId="1B1505EA" w:rsidR="00AE2F3A" w:rsidRPr="0054363F" w:rsidRDefault="00374496" w:rsidP="009C475F">
      <w:pPr>
        <w:pStyle w:val="Paragrafoelenco"/>
        <w:numPr>
          <w:ilvl w:val="0"/>
          <w:numId w:val="14"/>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54363F">
        <w:rPr>
          <w:rFonts w:ascii="Arial" w:eastAsia="Arial" w:hAnsi="Arial" w:cs="Arial"/>
          <w:b/>
          <w:bCs/>
          <w:color w:val="000000"/>
          <w:sz w:val="20"/>
          <w:szCs w:val="20"/>
        </w:rPr>
        <w:t>r</w:t>
      </w:r>
      <w:r w:rsidR="00AE2F3A" w:rsidRPr="0054363F">
        <w:rPr>
          <w:rFonts w:ascii="Arial" w:eastAsia="Arial" w:hAnsi="Arial" w:cs="Arial"/>
          <w:b/>
          <w:bCs/>
          <w:color w:val="000000"/>
          <w:sz w:val="20"/>
          <w:szCs w:val="20"/>
        </w:rPr>
        <w:t>esponsabilità per l’imposta non versata</w:t>
      </w:r>
      <w:r w:rsidR="00AE2F3A" w:rsidRPr="0054363F">
        <w:rPr>
          <w:rFonts w:ascii="Arial" w:eastAsia="Arial" w:hAnsi="Arial" w:cs="Arial"/>
          <w:color w:val="000000"/>
          <w:sz w:val="20"/>
          <w:szCs w:val="20"/>
        </w:rPr>
        <w:t>:</w:t>
      </w:r>
      <w:r w:rsidR="0054363F">
        <w:rPr>
          <w:rFonts w:ascii="Arial" w:eastAsia="Arial" w:hAnsi="Arial" w:cs="Arial"/>
          <w:color w:val="000000"/>
          <w:sz w:val="20"/>
          <w:szCs w:val="20"/>
        </w:rPr>
        <w:t xml:space="preserve"> </w:t>
      </w:r>
      <w:r w:rsidR="00AE2F3A" w:rsidRPr="0054363F">
        <w:rPr>
          <w:rFonts w:ascii="Arial" w:eastAsia="Arial" w:hAnsi="Arial" w:cs="Arial"/>
          <w:color w:val="000000"/>
          <w:sz w:val="20"/>
          <w:szCs w:val="20"/>
        </w:rPr>
        <w:t>il fornitore è tenuto a versare l’IVA che non ha addebitato in fattura</w:t>
      </w:r>
      <w:r w:rsidR="0054363F">
        <w:rPr>
          <w:rFonts w:ascii="Arial" w:eastAsia="Arial" w:hAnsi="Arial" w:cs="Arial"/>
          <w:color w:val="000000"/>
          <w:sz w:val="20"/>
          <w:szCs w:val="20"/>
        </w:rPr>
        <w:t>;</w:t>
      </w:r>
    </w:p>
    <w:p w14:paraId="16556A85" w14:textId="3FB52F9D" w:rsidR="00AE2F3A" w:rsidRPr="0054363F" w:rsidRDefault="00374496" w:rsidP="009C475F">
      <w:pPr>
        <w:pStyle w:val="Paragrafoelenco"/>
        <w:numPr>
          <w:ilvl w:val="0"/>
          <w:numId w:val="14"/>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54363F">
        <w:rPr>
          <w:rFonts w:ascii="Arial" w:eastAsia="Arial" w:hAnsi="Arial" w:cs="Arial"/>
          <w:b/>
          <w:bCs/>
          <w:color w:val="000000"/>
          <w:sz w:val="20"/>
          <w:szCs w:val="20"/>
        </w:rPr>
        <w:t>s</w:t>
      </w:r>
      <w:r w:rsidR="00AE2F3A" w:rsidRPr="0054363F">
        <w:rPr>
          <w:rFonts w:ascii="Arial" w:eastAsia="Arial" w:hAnsi="Arial" w:cs="Arial"/>
          <w:b/>
          <w:bCs/>
          <w:color w:val="000000"/>
          <w:sz w:val="20"/>
          <w:szCs w:val="20"/>
        </w:rPr>
        <w:t>anzione amministrativa pecuniaria</w:t>
      </w:r>
      <w:r w:rsidR="00AE2F3A" w:rsidRPr="0054363F">
        <w:rPr>
          <w:rFonts w:ascii="Arial" w:eastAsia="Arial" w:hAnsi="Arial" w:cs="Arial"/>
          <w:color w:val="000000"/>
          <w:sz w:val="20"/>
          <w:szCs w:val="20"/>
        </w:rPr>
        <w:t>:</w:t>
      </w:r>
      <w:r w:rsidR="0054363F">
        <w:rPr>
          <w:rFonts w:ascii="Arial" w:eastAsia="Arial" w:hAnsi="Arial" w:cs="Arial"/>
          <w:color w:val="000000"/>
          <w:sz w:val="20"/>
          <w:szCs w:val="20"/>
        </w:rPr>
        <w:t xml:space="preserve"> </w:t>
      </w:r>
      <w:r w:rsidR="00AE2F3A" w:rsidRPr="0054363F">
        <w:rPr>
          <w:rFonts w:ascii="Arial" w:eastAsia="Arial" w:hAnsi="Arial" w:cs="Arial"/>
          <w:color w:val="000000"/>
          <w:sz w:val="20"/>
          <w:szCs w:val="20"/>
        </w:rPr>
        <w:t>si applica una sanzione che va</w:t>
      </w:r>
      <w:r w:rsidR="0054363F">
        <w:rPr>
          <w:rFonts w:ascii="Arial" w:eastAsia="Arial" w:hAnsi="Arial" w:cs="Arial"/>
          <w:color w:val="000000"/>
          <w:sz w:val="20"/>
          <w:szCs w:val="20"/>
        </w:rPr>
        <w:t xml:space="preserve"> </w:t>
      </w:r>
      <w:r w:rsidR="00AE2F3A" w:rsidRPr="0054363F">
        <w:rPr>
          <w:rFonts w:ascii="Arial" w:eastAsia="Arial" w:hAnsi="Arial" w:cs="Arial"/>
          <w:b/>
          <w:bCs/>
          <w:color w:val="000000"/>
          <w:sz w:val="20"/>
          <w:szCs w:val="20"/>
        </w:rPr>
        <w:t>dal 100% al 200% dell’imposta non applicata</w:t>
      </w:r>
      <w:r w:rsidR="00AE2F3A" w:rsidRPr="0054363F">
        <w:rPr>
          <w:rFonts w:ascii="Arial" w:eastAsia="Arial" w:hAnsi="Arial" w:cs="Arial"/>
          <w:color w:val="000000"/>
          <w:sz w:val="20"/>
          <w:szCs w:val="20"/>
        </w:rPr>
        <w:t xml:space="preserve">, come previsto dall’art. 7, comma 4-bis, del </w:t>
      </w:r>
      <w:proofErr w:type="spellStart"/>
      <w:r w:rsidR="00AE2F3A" w:rsidRPr="0054363F">
        <w:rPr>
          <w:rFonts w:ascii="Arial" w:eastAsia="Arial" w:hAnsi="Arial" w:cs="Arial"/>
          <w:color w:val="000000"/>
          <w:sz w:val="20"/>
          <w:szCs w:val="20"/>
        </w:rPr>
        <w:t>D.Lgs.</w:t>
      </w:r>
      <w:proofErr w:type="spellEnd"/>
      <w:r w:rsidR="00AE2F3A" w:rsidRPr="0054363F">
        <w:rPr>
          <w:rFonts w:ascii="Arial" w:eastAsia="Arial" w:hAnsi="Arial" w:cs="Arial"/>
          <w:color w:val="000000"/>
          <w:sz w:val="20"/>
          <w:szCs w:val="20"/>
        </w:rPr>
        <w:t xml:space="preserve"> n. 471/1997.</w:t>
      </w:r>
    </w:p>
    <w:p w14:paraId="65E43792"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È fondamentale sottolineare che la responsabilità ricade interamente sul fornitore, anche se l’irregolarità è di fatto causata da un ritardo o da un’omissione del cliente. La verifica telematica non è una formalità, ma un onere probatorio essenziale a tutela del cedente/prestatore.</w:t>
      </w:r>
    </w:p>
    <w:p w14:paraId="7F34D246" w14:textId="24F06B09"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2873B966"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b/>
          <w:bCs/>
          <w:color w:val="000000"/>
          <w:sz w:val="20"/>
          <w:szCs w:val="20"/>
        </w:rPr>
      </w:pPr>
      <w:r w:rsidRPr="00E97BA8">
        <w:rPr>
          <w:rFonts w:ascii="Arial" w:eastAsia="Arial" w:hAnsi="Arial" w:cs="Arial"/>
          <w:b/>
          <w:bCs/>
          <w:color w:val="000000"/>
          <w:sz w:val="20"/>
          <w:szCs w:val="20"/>
        </w:rPr>
        <w:t>Le soluzioni: come regolarizzare la violazione con il ravvedimento operoso</w:t>
      </w:r>
    </w:p>
    <w:p w14:paraId="6C05E0A3" w14:textId="651EC308"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 xml:space="preserve">Nonostante la severità delle sanzioni, la normativa offre una via d’uscita per correggere l’errore spontaneamente, prima che l’Amministrazione </w:t>
      </w:r>
      <w:r w:rsidR="0054363F">
        <w:rPr>
          <w:rFonts w:ascii="Arial" w:eastAsia="Arial" w:hAnsi="Arial" w:cs="Arial"/>
          <w:color w:val="000000"/>
          <w:sz w:val="20"/>
          <w:szCs w:val="20"/>
        </w:rPr>
        <w:t>f</w:t>
      </w:r>
      <w:r w:rsidRPr="00E97BA8">
        <w:rPr>
          <w:rFonts w:ascii="Arial" w:eastAsia="Arial" w:hAnsi="Arial" w:cs="Arial"/>
          <w:color w:val="000000"/>
          <w:sz w:val="20"/>
          <w:szCs w:val="20"/>
        </w:rPr>
        <w:t>inanziaria lo contesti: il</w:t>
      </w:r>
      <w:r w:rsidR="0054363F">
        <w:rPr>
          <w:rFonts w:ascii="Arial" w:eastAsia="Arial" w:hAnsi="Arial" w:cs="Arial"/>
          <w:color w:val="000000"/>
          <w:sz w:val="20"/>
          <w:szCs w:val="20"/>
        </w:rPr>
        <w:t xml:space="preserve"> </w:t>
      </w:r>
      <w:r w:rsidRPr="00E97BA8">
        <w:rPr>
          <w:rFonts w:ascii="Arial" w:eastAsia="Arial" w:hAnsi="Arial" w:cs="Arial"/>
          <w:b/>
          <w:bCs/>
          <w:color w:val="000000"/>
          <w:sz w:val="20"/>
          <w:szCs w:val="20"/>
        </w:rPr>
        <w:t>ravvedimento operoso</w:t>
      </w:r>
      <w:r w:rsidRPr="00E97BA8">
        <w:rPr>
          <w:rFonts w:ascii="Arial" w:eastAsia="Arial" w:hAnsi="Arial" w:cs="Arial"/>
          <w:color w:val="000000"/>
          <w:sz w:val="20"/>
          <w:szCs w:val="20"/>
        </w:rPr>
        <w:t>.</w:t>
      </w:r>
    </w:p>
    <w:p w14:paraId="7A9C3C2B" w14:textId="598F5D94"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Questa procedura permette di ridurre drasticamente l’importo delle sanzioni.</w:t>
      </w:r>
    </w:p>
    <w:p w14:paraId="56BD2DB6"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Per sanare la propria posizione, il fornitore deve compiere i seguenti passi:</w:t>
      </w:r>
    </w:p>
    <w:p w14:paraId="328F9521" w14:textId="656BF72E" w:rsidR="00AE2F3A" w:rsidRPr="00E97BA8" w:rsidRDefault="00374496" w:rsidP="009C475F">
      <w:pPr>
        <w:numPr>
          <w:ilvl w:val="0"/>
          <w:numId w:val="1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E97BA8">
        <w:rPr>
          <w:rFonts w:ascii="Arial" w:eastAsia="Arial" w:hAnsi="Arial" w:cs="Arial"/>
          <w:b/>
          <w:bCs/>
          <w:color w:val="000000"/>
          <w:sz w:val="20"/>
          <w:szCs w:val="20"/>
        </w:rPr>
        <w:lastRenderedPageBreak/>
        <w:t>e</w:t>
      </w:r>
      <w:r w:rsidR="00AE2F3A" w:rsidRPr="00E97BA8">
        <w:rPr>
          <w:rFonts w:ascii="Arial" w:eastAsia="Arial" w:hAnsi="Arial" w:cs="Arial"/>
          <w:b/>
          <w:bCs/>
          <w:color w:val="000000"/>
          <w:sz w:val="20"/>
          <w:szCs w:val="20"/>
        </w:rPr>
        <w:t>mettere una nota di variazione in aumento</w:t>
      </w:r>
      <w:r w:rsidR="00AE2F3A" w:rsidRPr="0054363F">
        <w:rPr>
          <w:rFonts w:ascii="Arial" w:eastAsia="Arial" w:hAnsi="Arial" w:cs="Arial"/>
          <w:color w:val="000000"/>
          <w:sz w:val="20"/>
          <w:szCs w:val="20"/>
        </w:rPr>
        <w:t>:</w:t>
      </w:r>
      <w:r w:rsidR="0054363F">
        <w:rPr>
          <w:rFonts w:ascii="Arial" w:eastAsia="Arial" w:hAnsi="Arial" w:cs="Arial"/>
          <w:color w:val="000000"/>
          <w:sz w:val="20"/>
          <w:szCs w:val="20"/>
        </w:rPr>
        <w:t xml:space="preserve"> </w:t>
      </w:r>
      <w:r w:rsidR="00AE2F3A" w:rsidRPr="00E97BA8">
        <w:rPr>
          <w:rFonts w:ascii="Arial" w:eastAsia="Arial" w:hAnsi="Arial" w:cs="Arial"/>
          <w:color w:val="000000"/>
          <w:sz w:val="20"/>
          <w:szCs w:val="20"/>
        </w:rPr>
        <w:t>bisogna emettere una nota di debito, ai sensi dell’art. 26 del D</w:t>
      </w:r>
      <w:r w:rsidR="0054363F">
        <w:rPr>
          <w:rFonts w:ascii="Arial" w:eastAsia="Arial" w:hAnsi="Arial" w:cs="Arial"/>
          <w:color w:val="000000"/>
          <w:sz w:val="20"/>
          <w:szCs w:val="20"/>
        </w:rPr>
        <w:t>.</w:t>
      </w:r>
      <w:r w:rsidR="00AE2F3A" w:rsidRPr="00E97BA8">
        <w:rPr>
          <w:rFonts w:ascii="Arial" w:eastAsia="Arial" w:hAnsi="Arial" w:cs="Arial"/>
          <w:color w:val="000000"/>
          <w:sz w:val="20"/>
          <w:szCs w:val="20"/>
        </w:rPr>
        <w:t>P</w:t>
      </w:r>
      <w:r w:rsidR="0054363F">
        <w:rPr>
          <w:rFonts w:ascii="Arial" w:eastAsia="Arial" w:hAnsi="Arial" w:cs="Arial"/>
          <w:color w:val="000000"/>
          <w:sz w:val="20"/>
          <w:szCs w:val="20"/>
        </w:rPr>
        <w:t>.</w:t>
      </w:r>
      <w:r w:rsidR="00AE2F3A" w:rsidRPr="00E97BA8">
        <w:rPr>
          <w:rFonts w:ascii="Arial" w:eastAsia="Arial" w:hAnsi="Arial" w:cs="Arial"/>
          <w:color w:val="000000"/>
          <w:sz w:val="20"/>
          <w:szCs w:val="20"/>
        </w:rPr>
        <w:t>R</w:t>
      </w:r>
      <w:r w:rsidR="0054363F">
        <w:rPr>
          <w:rFonts w:ascii="Arial" w:eastAsia="Arial" w:hAnsi="Arial" w:cs="Arial"/>
          <w:color w:val="000000"/>
          <w:sz w:val="20"/>
          <w:szCs w:val="20"/>
        </w:rPr>
        <w:t>.</w:t>
      </w:r>
      <w:r w:rsidR="00AE2F3A" w:rsidRPr="00E97BA8">
        <w:rPr>
          <w:rFonts w:ascii="Arial" w:eastAsia="Arial" w:hAnsi="Arial" w:cs="Arial"/>
          <w:color w:val="000000"/>
          <w:sz w:val="20"/>
          <w:szCs w:val="20"/>
        </w:rPr>
        <w:t xml:space="preserve"> n. 633/</w:t>
      </w:r>
      <w:r w:rsidR="0054363F">
        <w:rPr>
          <w:rFonts w:ascii="Arial" w:eastAsia="Arial" w:hAnsi="Arial" w:cs="Arial"/>
          <w:color w:val="000000"/>
          <w:sz w:val="20"/>
          <w:szCs w:val="20"/>
        </w:rPr>
        <w:t>19</w:t>
      </w:r>
      <w:r w:rsidR="00AE2F3A" w:rsidRPr="00E97BA8">
        <w:rPr>
          <w:rFonts w:ascii="Arial" w:eastAsia="Arial" w:hAnsi="Arial" w:cs="Arial"/>
          <w:color w:val="000000"/>
          <w:sz w:val="20"/>
          <w:szCs w:val="20"/>
        </w:rPr>
        <w:t>72, per addebitare al cliente l’IVA originariamente non applicata</w:t>
      </w:r>
      <w:r w:rsidR="0054363F">
        <w:rPr>
          <w:rFonts w:ascii="Arial" w:eastAsia="Arial" w:hAnsi="Arial" w:cs="Arial"/>
          <w:color w:val="000000"/>
          <w:sz w:val="20"/>
          <w:szCs w:val="20"/>
        </w:rPr>
        <w:t>;</w:t>
      </w:r>
    </w:p>
    <w:p w14:paraId="4958F00D" w14:textId="3325E575" w:rsidR="00AE2F3A" w:rsidRPr="00E97BA8" w:rsidRDefault="00374496" w:rsidP="009C475F">
      <w:pPr>
        <w:numPr>
          <w:ilvl w:val="0"/>
          <w:numId w:val="1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E97BA8">
        <w:rPr>
          <w:rFonts w:ascii="Arial" w:eastAsia="Arial" w:hAnsi="Arial" w:cs="Arial"/>
          <w:b/>
          <w:bCs/>
          <w:color w:val="000000"/>
          <w:sz w:val="20"/>
          <w:szCs w:val="20"/>
        </w:rPr>
        <w:t>v</w:t>
      </w:r>
      <w:r w:rsidR="00AE2F3A" w:rsidRPr="00E97BA8">
        <w:rPr>
          <w:rFonts w:ascii="Arial" w:eastAsia="Arial" w:hAnsi="Arial" w:cs="Arial"/>
          <w:b/>
          <w:bCs/>
          <w:color w:val="000000"/>
          <w:sz w:val="20"/>
          <w:szCs w:val="20"/>
        </w:rPr>
        <w:t>ersare l’imposta dovuta</w:t>
      </w:r>
      <w:r w:rsidR="00AE2F3A" w:rsidRPr="0054363F">
        <w:rPr>
          <w:rFonts w:ascii="Arial" w:eastAsia="Arial" w:hAnsi="Arial" w:cs="Arial"/>
          <w:color w:val="000000"/>
          <w:sz w:val="20"/>
          <w:szCs w:val="20"/>
        </w:rPr>
        <w:t>:</w:t>
      </w:r>
      <w:r w:rsidR="0054363F">
        <w:rPr>
          <w:rFonts w:ascii="Arial" w:eastAsia="Arial" w:hAnsi="Arial" w:cs="Arial"/>
          <w:color w:val="000000"/>
          <w:sz w:val="20"/>
          <w:szCs w:val="20"/>
        </w:rPr>
        <w:t xml:space="preserve"> </w:t>
      </w:r>
      <w:r w:rsidR="00AE2F3A" w:rsidRPr="00E97BA8">
        <w:rPr>
          <w:rFonts w:ascii="Arial" w:eastAsia="Arial" w:hAnsi="Arial" w:cs="Arial"/>
          <w:color w:val="000000"/>
          <w:sz w:val="20"/>
          <w:szCs w:val="20"/>
        </w:rPr>
        <w:t>effettuare il pagamento dell’IVA tramite modello F24</w:t>
      </w:r>
      <w:r w:rsidR="0054363F">
        <w:rPr>
          <w:rFonts w:ascii="Arial" w:eastAsia="Arial" w:hAnsi="Arial" w:cs="Arial"/>
          <w:color w:val="000000"/>
          <w:sz w:val="20"/>
          <w:szCs w:val="20"/>
        </w:rPr>
        <w:t>;</w:t>
      </w:r>
    </w:p>
    <w:p w14:paraId="73FDED20" w14:textId="0A6881B7" w:rsidR="00AE2F3A" w:rsidRPr="00E97BA8" w:rsidRDefault="00374496" w:rsidP="009C475F">
      <w:pPr>
        <w:numPr>
          <w:ilvl w:val="0"/>
          <w:numId w:val="1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E97BA8">
        <w:rPr>
          <w:rFonts w:ascii="Arial" w:eastAsia="Arial" w:hAnsi="Arial" w:cs="Arial"/>
          <w:b/>
          <w:bCs/>
          <w:color w:val="000000"/>
          <w:sz w:val="20"/>
          <w:szCs w:val="20"/>
        </w:rPr>
        <w:t>v</w:t>
      </w:r>
      <w:r w:rsidR="00AE2F3A" w:rsidRPr="00E97BA8">
        <w:rPr>
          <w:rFonts w:ascii="Arial" w:eastAsia="Arial" w:hAnsi="Arial" w:cs="Arial"/>
          <w:b/>
          <w:bCs/>
          <w:color w:val="000000"/>
          <w:sz w:val="20"/>
          <w:szCs w:val="20"/>
        </w:rPr>
        <w:t>ersare la sanzione ridotta</w:t>
      </w:r>
      <w:r w:rsidR="00AE2F3A" w:rsidRPr="0054363F">
        <w:rPr>
          <w:rFonts w:ascii="Arial" w:eastAsia="Arial" w:hAnsi="Arial" w:cs="Arial"/>
          <w:color w:val="000000"/>
          <w:sz w:val="20"/>
          <w:szCs w:val="20"/>
        </w:rPr>
        <w:t>:</w:t>
      </w:r>
      <w:r w:rsidR="0054363F">
        <w:rPr>
          <w:rFonts w:ascii="Arial" w:eastAsia="Arial" w:hAnsi="Arial" w:cs="Arial"/>
          <w:color w:val="000000"/>
          <w:sz w:val="20"/>
          <w:szCs w:val="20"/>
        </w:rPr>
        <w:t xml:space="preserve"> </w:t>
      </w:r>
      <w:r w:rsidR="00AE2F3A" w:rsidRPr="00E97BA8">
        <w:rPr>
          <w:rFonts w:ascii="Arial" w:eastAsia="Arial" w:hAnsi="Arial" w:cs="Arial"/>
          <w:color w:val="000000"/>
          <w:sz w:val="20"/>
          <w:szCs w:val="20"/>
        </w:rPr>
        <w:t>calcolare e versare la sanzione amministrativa in misura ridotta. L’entità della riduzione dipende dalla tempestività con cui si effettua la regolarizzazione (ad esempio, la sanzione è ridotta a 1/8 del minimo se il versamento avviene entro 90 giorni dalla violazione)</w:t>
      </w:r>
      <w:r w:rsidR="0040528A">
        <w:rPr>
          <w:rFonts w:ascii="Arial" w:eastAsia="Arial" w:hAnsi="Arial" w:cs="Arial"/>
          <w:color w:val="000000"/>
          <w:sz w:val="20"/>
          <w:szCs w:val="20"/>
        </w:rPr>
        <w:t>;</w:t>
      </w:r>
    </w:p>
    <w:p w14:paraId="6663A5B4" w14:textId="23DCC024" w:rsidR="00AE2F3A" w:rsidRPr="00E97BA8" w:rsidRDefault="00374496" w:rsidP="009C475F">
      <w:pPr>
        <w:numPr>
          <w:ilvl w:val="0"/>
          <w:numId w:val="15"/>
        </w:numPr>
        <w:pBdr>
          <w:top w:val="nil"/>
          <w:left w:val="nil"/>
          <w:bottom w:val="nil"/>
          <w:right w:val="nil"/>
          <w:between w:val="nil"/>
        </w:pBdr>
        <w:tabs>
          <w:tab w:val="left" w:pos="2160"/>
          <w:tab w:val="left" w:pos="3168"/>
          <w:tab w:val="left" w:pos="4838"/>
        </w:tabs>
        <w:spacing w:line="300" w:lineRule="atLeast"/>
        <w:ind w:leftChars="0" w:firstLineChars="0"/>
        <w:jc w:val="both"/>
        <w:rPr>
          <w:rFonts w:ascii="Arial" w:eastAsia="Arial" w:hAnsi="Arial" w:cs="Arial"/>
          <w:color w:val="000000"/>
          <w:sz w:val="20"/>
          <w:szCs w:val="20"/>
        </w:rPr>
      </w:pPr>
      <w:r w:rsidRPr="00E97BA8">
        <w:rPr>
          <w:rFonts w:ascii="Arial" w:eastAsia="Arial" w:hAnsi="Arial" w:cs="Arial"/>
          <w:b/>
          <w:bCs/>
          <w:color w:val="000000"/>
          <w:sz w:val="20"/>
          <w:szCs w:val="20"/>
        </w:rPr>
        <w:t>v</w:t>
      </w:r>
      <w:r w:rsidR="00AE2F3A" w:rsidRPr="00E97BA8">
        <w:rPr>
          <w:rFonts w:ascii="Arial" w:eastAsia="Arial" w:hAnsi="Arial" w:cs="Arial"/>
          <w:b/>
          <w:bCs/>
          <w:color w:val="000000"/>
          <w:sz w:val="20"/>
          <w:szCs w:val="20"/>
        </w:rPr>
        <w:t>ersare gli interessi legali</w:t>
      </w:r>
      <w:r w:rsidR="00AE2F3A" w:rsidRPr="0040528A">
        <w:rPr>
          <w:rFonts w:ascii="Arial" w:eastAsia="Arial" w:hAnsi="Arial" w:cs="Arial"/>
          <w:color w:val="000000"/>
          <w:sz w:val="20"/>
          <w:szCs w:val="20"/>
        </w:rPr>
        <w:t>:</w:t>
      </w:r>
      <w:r w:rsidR="0040528A">
        <w:rPr>
          <w:rFonts w:ascii="Arial" w:eastAsia="Arial" w:hAnsi="Arial" w:cs="Arial"/>
          <w:color w:val="000000"/>
          <w:sz w:val="20"/>
          <w:szCs w:val="20"/>
        </w:rPr>
        <w:t xml:space="preserve"> </w:t>
      </w:r>
      <w:r w:rsidR="00AE2F3A" w:rsidRPr="00E97BA8">
        <w:rPr>
          <w:rFonts w:ascii="Arial" w:eastAsia="Arial" w:hAnsi="Arial" w:cs="Arial"/>
          <w:color w:val="000000"/>
          <w:sz w:val="20"/>
          <w:szCs w:val="20"/>
        </w:rPr>
        <w:t xml:space="preserve">calcolare e versare gli interessi al tasso legale, maturati dal giorno in cui l’imposta </w:t>
      </w:r>
      <w:r w:rsidR="00F46AAC">
        <w:rPr>
          <w:rFonts w:ascii="Arial" w:eastAsia="Arial" w:hAnsi="Arial" w:cs="Arial"/>
          <w:color w:val="000000"/>
          <w:sz w:val="20"/>
          <w:szCs w:val="20"/>
        </w:rPr>
        <w:t>avrebbe</w:t>
      </w:r>
      <w:r w:rsidR="00AE2F3A" w:rsidRPr="00E97BA8">
        <w:rPr>
          <w:rFonts w:ascii="Arial" w:eastAsia="Arial" w:hAnsi="Arial" w:cs="Arial"/>
          <w:color w:val="000000"/>
          <w:sz w:val="20"/>
          <w:szCs w:val="20"/>
        </w:rPr>
        <w:t xml:space="preserve"> dovut</w:t>
      </w:r>
      <w:r w:rsidR="00F46AAC">
        <w:rPr>
          <w:rFonts w:ascii="Arial" w:eastAsia="Arial" w:hAnsi="Arial" w:cs="Arial"/>
          <w:color w:val="000000"/>
          <w:sz w:val="20"/>
          <w:szCs w:val="20"/>
        </w:rPr>
        <w:t>o</w:t>
      </w:r>
      <w:r w:rsidR="00AE2F3A" w:rsidRPr="00E97BA8">
        <w:rPr>
          <w:rFonts w:ascii="Arial" w:eastAsia="Arial" w:hAnsi="Arial" w:cs="Arial"/>
          <w:color w:val="000000"/>
          <w:sz w:val="20"/>
          <w:szCs w:val="20"/>
        </w:rPr>
        <w:t xml:space="preserve"> essere versata fino al giorno dell’effettivo pagamento.</w:t>
      </w:r>
    </w:p>
    <w:p w14:paraId="635BEEFB"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Chars="0" w:firstLineChars="0" w:firstLine="0"/>
        <w:jc w:val="both"/>
        <w:rPr>
          <w:rFonts w:ascii="Arial" w:eastAsia="Arial" w:hAnsi="Arial" w:cs="Arial"/>
          <w:color w:val="000000"/>
          <w:sz w:val="20"/>
          <w:szCs w:val="20"/>
        </w:rPr>
      </w:pPr>
    </w:p>
    <w:p w14:paraId="6E7CF475"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r w:rsidRPr="00E97BA8">
        <w:rPr>
          <w:rFonts w:ascii="Arial" w:eastAsia="Arial" w:hAnsi="Arial" w:cs="Arial"/>
          <w:color w:val="000000"/>
          <w:sz w:val="20"/>
          <w:szCs w:val="20"/>
        </w:rPr>
        <w:t>In conclusione, la gestione delle dichiarazioni d’intento richiede la massima diligenza da parte del fornitore. L’apparente semplicità dell’operazione nasconde insidie che possono portare a conseguenze economiche gravose. La verifica preventiva della ricevuta telematica è l’unico scudo efficace. Qualora si commetta un errore, il ricorso tempestivo al ravvedimento operoso si rivela uno strumento indispensabile per limitare i danni e ripristinare la correttezza fiscale dell’operazione</w:t>
      </w:r>
    </w:p>
    <w:p w14:paraId="338D63F2" w14:textId="77777777" w:rsidR="00AE2F3A" w:rsidRPr="00E97BA8" w:rsidRDefault="00AE2F3A" w:rsidP="00E97BA8">
      <w:pPr>
        <w:pBdr>
          <w:top w:val="nil"/>
          <w:left w:val="nil"/>
          <w:bottom w:val="nil"/>
          <w:right w:val="nil"/>
          <w:between w:val="nil"/>
        </w:pBdr>
        <w:tabs>
          <w:tab w:val="left" w:pos="2160"/>
          <w:tab w:val="left" w:pos="3168"/>
          <w:tab w:val="left" w:pos="4838"/>
        </w:tabs>
        <w:spacing w:line="300" w:lineRule="atLeast"/>
        <w:ind w:left="0" w:hanging="2"/>
        <w:jc w:val="both"/>
        <w:rPr>
          <w:rFonts w:ascii="Arial" w:eastAsia="Arial" w:hAnsi="Arial" w:cs="Arial"/>
          <w:color w:val="000000"/>
          <w:sz w:val="20"/>
          <w:szCs w:val="20"/>
        </w:rPr>
      </w:pPr>
    </w:p>
    <w:p w14:paraId="52F9BF00" w14:textId="4DFF2AE0" w:rsidR="00E97BA8" w:rsidRDefault="00E97BA8" w:rsidP="00E97BA8">
      <w:pPr>
        <w:pBdr>
          <w:top w:val="nil"/>
          <w:left w:val="nil"/>
          <w:bottom w:val="nil"/>
          <w:right w:val="nil"/>
          <w:between w:val="nil"/>
        </w:pBdr>
        <w:spacing w:line="300" w:lineRule="atLeast"/>
        <w:ind w:left="0" w:hanging="2"/>
        <w:jc w:val="both"/>
        <w:rPr>
          <w:rFonts w:ascii="Arial" w:eastAsia="Arial" w:hAnsi="Arial" w:cs="Arial"/>
          <w:color w:val="000000"/>
          <w:sz w:val="20"/>
          <w:szCs w:val="20"/>
        </w:rPr>
      </w:pPr>
      <w:r>
        <w:rPr>
          <w:rFonts w:ascii="Arial" w:eastAsia="Arial" w:hAnsi="Arial" w:cs="Arial"/>
          <w:color w:val="000000"/>
          <w:sz w:val="20"/>
          <w:szCs w:val="20"/>
        </w:rPr>
        <w:br w:type="page"/>
      </w:r>
    </w:p>
    <w:p w14:paraId="4A1739E7" w14:textId="77777777" w:rsidR="0040528A" w:rsidRPr="007D21BC" w:rsidRDefault="0040528A" w:rsidP="0040528A">
      <w:pPr>
        <w:shd w:val="clear" w:color="auto" w:fill="FFFFFF"/>
        <w:spacing w:line="300" w:lineRule="atLeast"/>
        <w:ind w:leftChars="0" w:left="0" w:firstLineChars="0" w:firstLine="0"/>
        <w:jc w:val="both"/>
        <w:rPr>
          <w:rFonts w:ascii="Arial" w:hAnsi="Arial" w:cs="Arial"/>
          <w:color w:val="0F0F0F"/>
          <w:sz w:val="20"/>
          <w:szCs w:val="20"/>
        </w:rPr>
      </w:pPr>
    </w:p>
    <w:tbl>
      <w:tblPr>
        <w:tblW w:w="0" w:type="auto"/>
        <w:tblInd w:w="108" w:type="dxa"/>
        <w:tblLook w:val="01E0" w:firstRow="1" w:lastRow="1" w:firstColumn="1" w:lastColumn="1" w:noHBand="0" w:noVBand="0"/>
      </w:tblPr>
      <w:tblGrid>
        <w:gridCol w:w="9530"/>
      </w:tblGrid>
      <w:tr w:rsidR="0040528A" w:rsidRPr="0040528A" w14:paraId="5F827EB9" w14:textId="77777777" w:rsidTr="00EA2882">
        <w:trPr>
          <w:trHeight w:val="567"/>
        </w:trPr>
        <w:tc>
          <w:tcPr>
            <w:tcW w:w="9670" w:type="dxa"/>
            <w:tcBorders>
              <w:bottom w:val="single" w:sz="4" w:space="0" w:color="366DB3"/>
            </w:tcBorders>
            <w:vAlign w:val="center"/>
          </w:tcPr>
          <w:p w14:paraId="78152D94" w14:textId="19231F04" w:rsidR="009C475F" w:rsidRPr="009C475F" w:rsidRDefault="0040528A" w:rsidP="009C475F">
            <w:pPr>
              <w:pStyle w:val="titolodocumento"/>
              <w:suppressAutoHyphens w:val="0"/>
              <w:spacing w:line="240" w:lineRule="auto"/>
              <w:ind w:leftChars="0" w:left="0" w:firstLineChars="0" w:firstLine="0"/>
              <w:textAlignment w:val="auto"/>
              <w:outlineLvl w:val="9"/>
              <w:rPr>
                <w:rFonts w:ascii="Arial" w:hAnsi="Arial" w:cs="Arial"/>
                <w:imprint w:val="0"/>
                <w:color w:val="366DB3"/>
                <w:position w:val="0"/>
                <w:sz w:val="28"/>
              </w:rPr>
            </w:pPr>
            <w:r w:rsidRPr="0040528A">
              <w:rPr>
                <w:rFonts w:ascii="Arial" w:hAnsi="Arial" w:cs="Arial"/>
                <w:imprint w:val="0"/>
                <w:color w:val="366DB3"/>
                <w:position w:val="0"/>
                <w:sz w:val="28"/>
              </w:rPr>
              <w:t>PRINCIPALI SCADENZE</w:t>
            </w:r>
          </w:p>
        </w:tc>
      </w:tr>
    </w:tbl>
    <w:p w14:paraId="30541F7D" w14:textId="77777777" w:rsidR="0040528A" w:rsidRDefault="0040528A" w:rsidP="0040528A">
      <w:pPr>
        <w:shd w:val="clear" w:color="auto" w:fill="FFFFFF"/>
        <w:spacing w:line="300" w:lineRule="atLeast"/>
        <w:ind w:left="0" w:hanging="2"/>
        <w:jc w:val="both"/>
        <w:rPr>
          <w:rFonts w:ascii="Arial" w:hAnsi="Arial" w:cs="Arial"/>
          <w:color w:val="0F0F0F"/>
          <w:sz w:val="20"/>
          <w:szCs w:val="20"/>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905"/>
        <w:gridCol w:w="2126"/>
        <w:gridCol w:w="1839"/>
        <w:gridCol w:w="1701"/>
      </w:tblGrid>
      <w:tr w:rsidR="009C475F" w:rsidRPr="007D21BC" w14:paraId="02265424" w14:textId="77777777" w:rsidTr="00EA2882">
        <w:trPr>
          <w:trHeight w:val="915"/>
          <w:jc w:val="center"/>
        </w:trPr>
        <w:tc>
          <w:tcPr>
            <w:tcW w:w="1779" w:type="dxa"/>
            <w:vAlign w:val="center"/>
          </w:tcPr>
          <w:p w14:paraId="3FB13914" w14:textId="77777777" w:rsidR="009C475F" w:rsidRPr="007D21BC" w:rsidRDefault="009C475F" w:rsidP="009C475F">
            <w:pPr>
              <w:overflowPunct w:val="0"/>
              <w:autoSpaceDE w:val="0"/>
              <w:autoSpaceDN w:val="0"/>
              <w:adjustRightInd w:val="0"/>
              <w:spacing w:line="300" w:lineRule="atLeast"/>
              <w:ind w:left="0" w:hanging="2"/>
              <w:jc w:val="center"/>
              <w:textAlignment w:val="baseline"/>
              <w:rPr>
                <w:rFonts w:ascii="Arial" w:hAnsi="Arial" w:cs="Arial"/>
                <w:b/>
                <w:bCs/>
                <w:sz w:val="20"/>
                <w:szCs w:val="20"/>
                <w:lang w:val="en-US"/>
              </w:rPr>
            </w:pPr>
            <w:r w:rsidRPr="007D21BC">
              <w:rPr>
                <w:rFonts w:ascii="Arial" w:hAnsi="Arial" w:cs="Arial"/>
                <w:b/>
                <w:bCs/>
                <w:sz w:val="20"/>
                <w:szCs w:val="20"/>
                <w:lang w:val="en-US"/>
              </w:rPr>
              <w:t xml:space="preserve">Data </w:t>
            </w:r>
            <w:proofErr w:type="spellStart"/>
            <w:r w:rsidRPr="007D21BC">
              <w:rPr>
                <w:rFonts w:ascii="Arial" w:hAnsi="Arial" w:cs="Arial"/>
                <w:b/>
                <w:bCs/>
                <w:sz w:val="20"/>
                <w:szCs w:val="20"/>
                <w:lang w:val="en-US"/>
              </w:rPr>
              <w:t>scadenza</w:t>
            </w:r>
            <w:proofErr w:type="spellEnd"/>
          </w:p>
        </w:tc>
        <w:tc>
          <w:tcPr>
            <w:tcW w:w="1905" w:type="dxa"/>
            <w:vAlign w:val="center"/>
          </w:tcPr>
          <w:p w14:paraId="0CE78ABC" w14:textId="77777777" w:rsidR="009C475F" w:rsidRPr="007D21BC" w:rsidRDefault="009C475F" w:rsidP="009C475F">
            <w:pPr>
              <w:overflowPunct w:val="0"/>
              <w:autoSpaceDE w:val="0"/>
              <w:autoSpaceDN w:val="0"/>
              <w:adjustRightInd w:val="0"/>
              <w:spacing w:line="300" w:lineRule="atLeast"/>
              <w:ind w:left="0" w:hanging="2"/>
              <w:jc w:val="center"/>
              <w:textAlignment w:val="baseline"/>
              <w:rPr>
                <w:rFonts w:ascii="Arial" w:hAnsi="Arial" w:cs="Arial"/>
                <w:b/>
                <w:bCs/>
                <w:sz w:val="20"/>
                <w:szCs w:val="20"/>
                <w:lang w:val="en-US"/>
              </w:rPr>
            </w:pPr>
            <w:proofErr w:type="spellStart"/>
            <w:r w:rsidRPr="007D21BC">
              <w:rPr>
                <w:rFonts w:ascii="Arial" w:hAnsi="Arial" w:cs="Arial"/>
                <w:b/>
                <w:bCs/>
                <w:sz w:val="20"/>
                <w:szCs w:val="20"/>
                <w:lang w:val="en-US"/>
              </w:rPr>
              <w:t>Ambito</w:t>
            </w:r>
            <w:proofErr w:type="spellEnd"/>
          </w:p>
        </w:tc>
        <w:tc>
          <w:tcPr>
            <w:tcW w:w="2126" w:type="dxa"/>
            <w:vAlign w:val="center"/>
          </w:tcPr>
          <w:p w14:paraId="29C2194D" w14:textId="77777777" w:rsidR="009C475F" w:rsidRPr="007D21BC" w:rsidRDefault="009C475F" w:rsidP="009C475F">
            <w:pPr>
              <w:overflowPunct w:val="0"/>
              <w:autoSpaceDE w:val="0"/>
              <w:autoSpaceDN w:val="0"/>
              <w:adjustRightInd w:val="0"/>
              <w:spacing w:line="300" w:lineRule="atLeast"/>
              <w:ind w:left="0" w:hanging="2"/>
              <w:jc w:val="center"/>
              <w:textAlignment w:val="baseline"/>
              <w:rPr>
                <w:rFonts w:ascii="Arial" w:hAnsi="Arial" w:cs="Arial"/>
                <w:b/>
                <w:bCs/>
                <w:sz w:val="20"/>
                <w:szCs w:val="20"/>
                <w:lang w:val="en-US"/>
              </w:rPr>
            </w:pPr>
            <w:proofErr w:type="spellStart"/>
            <w:r w:rsidRPr="007D21BC">
              <w:rPr>
                <w:rFonts w:ascii="Arial" w:hAnsi="Arial" w:cs="Arial"/>
                <w:b/>
                <w:bCs/>
                <w:sz w:val="20"/>
                <w:szCs w:val="20"/>
                <w:lang w:val="en-US"/>
              </w:rPr>
              <w:t>Attività</w:t>
            </w:r>
            <w:proofErr w:type="spellEnd"/>
          </w:p>
        </w:tc>
        <w:tc>
          <w:tcPr>
            <w:tcW w:w="1839" w:type="dxa"/>
            <w:vAlign w:val="center"/>
          </w:tcPr>
          <w:p w14:paraId="165171FF" w14:textId="77777777" w:rsidR="009C475F" w:rsidRPr="007D21BC" w:rsidRDefault="009C475F" w:rsidP="009C475F">
            <w:pPr>
              <w:overflowPunct w:val="0"/>
              <w:autoSpaceDE w:val="0"/>
              <w:autoSpaceDN w:val="0"/>
              <w:adjustRightInd w:val="0"/>
              <w:spacing w:line="300" w:lineRule="atLeast"/>
              <w:ind w:left="0" w:hanging="2"/>
              <w:jc w:val="center"/>
              <w:textAlignment w:val="baseline"/>
              <w:rPr>
                <w:rFonts w:ascii="Arial" w:hAnsi="Arial" w:cs="Arial"/>
                <w:b/>
                <w:bCs/>
                <w:sz w:val="20"/>
                <w:szCs w:val="20"/>
                <w:lang w:val="en-US"/>
              </w:rPr>
            </w:pPr>
            <w:proofErr w:type="spellStart"/>
            <w:r w:rsidRPr="007D21BC">
              <w:rPr>
                <w:rFonts w:ascii="Arial" w:hAnsi="Arial" w:cs="Arial"/>
                <w:b/>
                <w:bCs/>
                <w:sz w:val="20"/>
                <w:szCs w:val="20"/>
                <w:lang w:val="en-US"/>
              </w:rPr>
              <w:t>Soggetti</w:t>
            </w:r>
            <w:proofErr w:type="spellEnd"/>
            <w:r w:rsidRPr="007D21BC">
              <w:rPr>
                <w:rFonts w:ascii="Arial" w:hAnsi="Arial" w:cs="Arial"/>
                <w:b/>
                <w:bCs/>
                <w:sz w:val="20"/>
                <w:szCs w:val="20"/>
                <w:lang w:val="en-US"/>
              </w:rPr>
              <w:t xml:space="preserve"> obbligati</w:t>
            </w:r>
          </w:p>
        </w:tc>
        <w:tc>
          <w:tcPr>
            <w:tcW w:w="1701" w:type="dxa"/>
            <w:vAlign w:val="center"/>
          </w:tcPr>
          <w:p w14:paraId="4D8F0101" w14:textId="77777777" w:rsidR="009C475F" w:rsidRPr="007D21BC" w:rsidRDefault="009C475F" w:rsidP="009C475F">
            <w:pPr>
              <w:overflowPunct w:val="0"/>
              <w:autoSpaceDE w:val="0"/>
              <w:autoSpaceDN w:val="0"/>
              <w:adjustRightInd w:val="0"/>
              <w:spacing w:line="300" w:lineRule="atLeast"/>
              <w:ind w:left="0" w:hanging="2"/>
              <w:jc w:val="center"/>
              <w:textAlignment w:val="baseline"/>
              <w:rPr>
                <w:rFonts w:ascii="Arial" w:hAnsi="Arial" w:cs="Arial"/>
                <w:b/>
                <w:bCs/>
                <w:sz w:val="20"/>
                <w:szCs w:val="20"/>
                <w:lang w:val="en-US"/>
              </w:rPr>
            </w:pPr>
            <w:proofErr w:type="spellStart"/>
            <w:r w:rsidRPr="007D21BC">
              <w:rPr>
                <w:rFonts w:ascii="Arial" w:hAnsi="Arial" w:cs="Arial"/>
                <w:b/>
                <w:bCs/>
                <w:sz w:val="20"/>
                <w:szCs w:val="20"/>
                <w:lang w:val="en-US"/>
              </w:rPr>
              <w:t>Modalità</w:t>
            </w:r>
            <w:proofErr w:type="spellEnd"/>
          </w:p>
        </w:tc>
      </w:tr>
      <w:tr w:rsidR="009C475F" w14:paraId="6D18479B" w14:textId="77777777" w:rsidTr="00EA2882">
        <w:trPr>
          <w:trHeight w:val="915"/>
          <w:jc w:val="center"/>
        </w:trPr>
        <w:tc>
          <w:tcPr>
            <w:tcW w:w="1779" w:type="dxa"/>
            <w:tcBorders>
              <w:top w:val="single" w:sz="4" w:space="0" w:color="auto"/>
              <w:left w:val="single" w:sz="4" w:space="0" w:color="auto"/>
              <w:bottom w:val="single" w:sz="4" w:space="0" w:color="auto"/>
              <w:right w:val="single" w:sz="4" w:space="0" w:color="auto"/>
            </w:tcBorders>
          </w:tcPr>
          <w:p w14:paraId="64B67F2E" w14:textId="77777777" w:rsidR="009C475F" w:rsidRDefault="009C475F" w:rsidP="009C475F">
            <w:pPr>
              <w:spacing w:line="300" w:lineRule="atLeast"/>
              <w:ind w:left="0" w:hanging="2"/>
              <w:rPr>
                <w:rFonts w:ascii="Arial" w:hAnsi="Arial" w:cs="Arial"/>
                <w:b/>
                <w:bCs/>
                <w:sz w:val="20"/>
                <w:szCs w:val="20"/>
              </w:rPr>
            </w:pPr>
            <w:r>
              <w:rPr>
                <w:rFonts w:ascii="Arial" w:hAnsi="Arial" w:cs="Arial"/>
                <w:b/>
                <w:bCs/>
                <w:sz w:val="20"/>
                <w:szCs w:val="20"/>
              </w:rPr>
              <w:t xml:space="preserve">Lunedì </w:t>
            </w:r>
            <w:proofErr w:type="gramStart"/>
            <w:r>
              <w:rPr>
                <w:rFonts w:ascii="Arial" w:hAnsi="Arial" w:cs="Arial"/>
                <w:b/>
                <w:bCs/>
                <w:sz w:val="20"/>
                <w:szCs w:val="20"/>
              </w:rPr>
              <w:t>1 dicembre</w:t>
            </w:r>
            <w:proofErr w:type="gramEnd"/>
            <w:r>
              <w:rPr>
                <w:rFonts w:ascii="Arial" w:hAnsi="Arial" w:cs="Arial"/>
                <w:b/>
                <w:bCs/>
                <w:sz w:val="20"/>
                <w:szCs w:val="20"/>
              </w:rPr>
              <w:t xml:space="preserve"> 2025</w:t>
            </w:r>
          </w:p>
        </w:tc>
        <w:tc>
          <w:tcPr>
            <w:tcW w:w="1905" w:type="dxa"/>
            <w:tcBorders>
              <w:top w:val="single" w:sz="4" w:space="0" w:color="auto"/>
              <w:left w:val="single" w:sz="4" w:space="0" w:color="auto"/>
              <w:bottom w:val="single" w:sz="4" w:space="0" w:color="auto"/>
              <w:right w:val="single" w:sz="4" w:space="0" w:color="auto"/>
            </w:tcBorders>
          </w:tcPr>
          <w:p w14:paraId="4839ECB7" w14:textId="77777777" w:rsidR="009C475F" w:rsidRDefault="009C475F" w:rsidP="009C475F">
            <w:pPr>
              <w:spacing w:line="300" w:lineRule="atLeast"/>
              <w:ind w:left="0" w:hanging="2"/>
              <w:rPr>
                <w:rFonts w:ascii="Arial" w:hAnsi="Arial" w:cs="Arial"/>
                <w:b/>
                <w:bCs/>
                <w:sz w:val="20"/>
                <w:szCs w:val="20"/>
              </w:rPr>
            </w:pPr>
            <w:r>
              <w:rPr>
                <w:rFonts w:ascii="Arial" w:hAnsi="Arial" w:cs="Arial"/>
                <w:b/>
                <w:bCs/>
                <w:sz w:val="20"/>
                <w:szCs w:val="20"/>
              </w:rPr>
              <w:t>LIPE</w:t>
            </w:r>
          </w:p>
        </w:tc>
        <w:tc>
          <w:tcPr>
            <w:tcW w:w="2126" w:type="dxa"/>
            <w:tcBorders>
              <w:top w:val="single" w:sz="4" w:space="0" w:color="auto"/>
              <w:left w:val="single" w:sz="4" w:space="0" w:color="auto"/>
              <w:bottom w:val="single" w:sz="4" w:space="0" w:color="auto"/>
              <w:right w:val="single" w:sz="4" w:space="0" w:color="auto"/>
            </w:tcBorders>
          </w:tcPr>
          <w:p w14:paraId="713AFC9F" w14:textId="77777777" w:rsidR="009C475F" w:rsidRPr="007A355D" w:rsidRDefault="009C475F" w:rsidP="009C475F">
            <w:pPr>
              <w:spacing w:line="300" w:lineRule="atLeast"/>
              <w:ind w:left="0" w:hanging="2"/>
              <w:rPr>
                <w:rFonts w:ascii="Arial" w:hAnsi="Arial" w:cs="Arial"/>
                <w:sz w:val="20"/>
                <w:szCs w:val="20"/>
              </w:rPr>
            </w:pPr>
            <w:r w:rsidRPr="007A355D">
              <w:rPr>
                <w:rFonts w:ascii="Arial" w:hAnsi="Arial" w:cs="Arial"/>
                <w:sz w:val="20"/>
                <w:szCs w:val="20"/>
              </w:rPr>
              <w:t>Termine per la trasmissione telematica all’Agenzia delle Entrate, direttamente o tramite un intermediario abilitato, dei dati delle liquidazioni periodiche IVA relative al III trimestre.</w:t>
            </w:r>
          </w:p>
        </w:tc>
        <w:tc>
          <w:tcPr>
            <w:tcW w:w="1839" w:type="dxa"/>
            <w:tcBorders>
              <w:top w:val="single" w:sz="4" w:space="0" w:color="auto"/>
              <w:left w:val="single" w:sz="4" w:space="0" w:color="auto"/>
              <w:bottom w:val="single" w:sz="4" w:space="0" w:color="auto"/>
              <w:right w:val="single" w:sz="4" w:space="0" w:color="auto"/>
            </w:tcBorders>
          </w:tcPr>
          <w:p w14:paraId="7EFA5F49" w14:textId="77777777" w:rsidR="009C475F" w:rsidRDefault="009C475F" w:rsidP="009C475F">
            <w:pPr>
              <w:spacing w:line="300" w:lineRule="atLeast"/>
              <w:ind w:left="0" w:hanging="2"/>
              <w:rPr>
                <w:rFonts w:ascii="Arial" w:hAnsi="Arial" w:cs="Arial"/>
                <w:sz w:val="20"/>
                <w:szCs w:val="20"/>
              </w:rPr>
            </w:pPr>
            <w:r w:rsidRPr="0030497A">
              <w:rPr>
                <w:rFonts w:ascii="Arial" w:hAnsi="Arial" w:cs="Arial"/>
                <w:sz w:val="20"/>
                <w:szCs w:val="20"/>
              </w:rPr>
              <w:t>Soggetti passivi IVA obbligati alla presentazione della dichiarazione IVA o all’effettuazione delle liquidazioni periodiche IVA.</w:t>
            </w:r>
          </w:p>
        </w:tc>
        <w:tc>
          <w:tcPr>
            <w:tcW w:w="1701" w:type="dxa"/>
            <w:tcBorders>
              <w:top w:val="single" w:sz="4" w:space="0" w:color="auto"/>
              <w:left w:val="single" w:sz="4" w:space="0" w:color="auto"/>
              <w:bottom w:val="single" w:sz="4" w:space="0" w:color="auto"/>
              <w:right w:val="single" w:sz="4" w:space="0" w:color="auto"/>
            </w:tcBorders>
          </w:tcPr>
          <w:p w14:paraId="662679B7" w14:textId="77777777" w:rsidR="009C475F" w:rsidRDefault="009C475F" w:rsidP="009C475F">
            <w:pPr>
              <w:spacing w:line="300" w:lineRule="atLeast"/>
              <w:ind w:left="0" w:hanging="2"/>
              <w:rPr>
                <w:rFonts w:ascii="Arial" w:hAnsi="Arial" w:cs="Arial"/>
                <w:sz w:val="20"/>
                <w:szCs w:val="20"/>
              </w:rPr>
            </w:pPr>
            <w:r w:rsidRPr="0030497A">
              <w:rPr>
                <w:rFonts w:ascii="Arial" w:hAnsi="Arial" w:cs="Arial"/>
                <w:sz w:val="20"/>
                <w:szCs w:val="20"/>
              </w:rPr>
              <w:t>Telematica</w:t>
            </w:r>
          </w:p>
        </w:tc>
      </w:tr>
    </w:tbl>
    <w:p w14:paraId="2A8475ED" w14:textId="77777777" w:rsidR="009C475F" w:rsidRDefault="009C475F" w:rsidP="0040528A">
      <w:pPr>
        <w:shd w:val="clear" w:color="auto" w:fill="FFFFFF"/>
        <w:spacing w:line="300" w:lineRule="atLeast"/>
        <w:ind w:left="0" w:hanging="2"/>
        <w:jc w:val="both"/>
        <w:rPr>
          <w:rFonts w:ascii="Arial" w:hAnsi="Arial" w:cs="Arial"/>
          <w:color w:val="0F0F0F"/>
          <w:sz w:val="20"/>
          <w:szCs w:val="20"/>
        </w:rPr>
      </w:pPr>
    </w:p>
    <w:p w14:paraId="47D78B6A" w14:textId="77777777" w:rsidR="009C475F" w:rsidRDefault="009C475F" w:rsidP="0040528A">
      <w:pPr>
        <w:shd w:val="clear" w:color="auto" w:fill="FFFFFF"/>
        <w:spacing w:line="300" w:lineRule="atLeast"/>
        <w:ind w:left="0" w:hanging="2"/>
        <w:jc w:val="both"/>
        <w:rPr>
          <w:rFonts w:ascii="Arial" w:hAnsi="Arial" w:cs="Arial"/>
          <w:color w:val="0F0F0F"/>
          <w:sz w:val="20"/>
          <w:szCs w:val="20"/>
        </w:rPr>
      </w:pPr>
    </w:p>
    <w:sectPr w:rsidR="009C475F">
      <w:headerReference w:type="default" r:id="rId12"/>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8AEBF" w14:textId="77777777" w:rsidR="001717D9" w:rsidRDefault="001717D9">
      <w:pPr>
        <w:spacing w:line="240" w:lineRule="auto"/>
        <w:ind w:left="0" w:hanging="2"/>
      </w:pPr>
      <w:r>
        <w:separator/>
      </w:r>
    </w:p>
  </w:endnote>
  <w:endnote w:type="continuationSeparator" w:id="0">
    <w:p w14:paraId="02590B7A" w14:textId="77777777" w:rsidR="001717D9" w:rsidRDefault="001717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urostile">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EFAA" w14:textId="77777777" w:rsidR="0093709F" w:rsidRDefault="00DB7C5E">
    <w:pPr>
      <w:pBdr>
        <w:top w:val="nil"/>
        <w:left w:val="nil"/>
        <w:bottom w:val="nil"/>
        <w:right w:val="nil"/>
        <w:between w:val="nil"/>
      </w:pBdr>
      <w:tabs>
        <w:tab w:val="center" w:pos="4819"/>
        <w:tab w:val="right" w:pos="9638"/>
      </w:tabs>
      <w:spacing w:line="240" w:lineRule="auto"/>
      <w:ind w:left="0" w:hanging="2"/>
      <w:jc w:val="right"/>
      <w:rPr>
        <w:rFonts w:ascii="Helvetica Neue" w:eastAsia="Helvetica Neue" w:hAnsi="Helvetica Neue" w:cs="Helvetica Neue"/>
        <w:color w:val="C0C0C0"/>
        <w:sz w:val="18"/>
        <w:szCs w:val="18"/>
      </w:rPr>
    </w:pPr>
    <w:r>
      <w:rPr>
        <w:rFonts w:ascii="Helvetica Neue" w:eastAsia="Helvetica Neue" w:hAnsi="Helvetica Neue" w:cs="Helvetica Neue"/>
        <w:color w:val="C0C0C0"/>
        <w:sz w:val="18"/>
        <w:szCs w:val="18"/>
      </w:rPr>
      <w:fldChar w:fldCharType="begin"/>
    </w:r>
    <w:r>
      <w:rPr>
        <w:rFonts w:ascii="Helvetica Neue" w:eastAsia="Helvetica Neue" w:hAnsi="Helvetica Neue" w:cs="Helvetica Neue"/>
        <w:color w:val="C0C0C0"/>
        <w:sz w:val="18"/>
        <w:szCs w:val="18"/>
      </w:rPr>
      <w:instrText>PAGE</w:instrText>
    </w:r>
    <w:r>
      <w:rPr>
        <w:rFonts w:ascii="Helvetica Neue" w:eastAsia="Helvetica Neue" w:hAnsi="Helvetica Neue" w:cs="Helvetica Neue"/>
        <w:color w:val="C0C0C0"/>
        <w:sz w:val="18"/>
        <w:szCs w:val="18"/>
      </w:rPr>
      <w:fldChar w:fldCharType="separate"/>
    </w:r>
    <w:r>
      <w:rPr>
        <w:rFonts w:ascii="Helvetica Neue" w:eastAsia="Helvetica Neue" w:hAnsi="Helvetica Neue" w:cs="Helvetica Neue"/>
        <w:color w:val="C0C0C0"/>
        <w:sz w:val="18"/>
        <w:szCs w:val="18"/>
      </w:rPr>
      <w:fldChar w:fldCharType="end"/>
    </w:r>
  </w:p>
  <w:p w14:paraId="00A321F5" w14:textId="77777777" w:rsidR="0093709F" w:rsidRDefault="0093709F">
    <w:pPr>
      <w:pBdr>
        <w:top w:val="nil"/>
        <w:left w:val="nil"/>
        <w:bottom w:val="nil"/>
        <w:right w:val="nil"/>
        <w:between w:val="nil"/>
      </w:pBdr>
      <w:tabs>
        <w:tab w:val="center" w:pos="4819"/>
        <w:tab w:val="right" w:pos="9638"/>
      </w:tabs>
      <w:spacing w:line="240" w:lineRule="auto"/>
      <w:ind w:left="0" w:right="360" w:hanging="2"/>
      <w:rPr>
        <w:rFonts w:ascii="Helvetica Neue" w:eastAsia="Helvetica Neue" w:hAnsi="Helvetica Neue" w:cs="Helvetica Neue"/>
        <w:color w:val="C0C0C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2AC8" w14:textId="77777777" w:rsidR="0093709F" w:rsidRDefault="00DB7C5E">
    <w:pPr>
      <w:pBdr>
        <w:top w:val="nil"/>
        <w:left w:val="nil"/>
        <w:bottom w:val="nil"/>
        <w:right w:val="nil"/>
        <w:between w:val="nil"/>
      </w:pBdr>
      <w:tabs>
        <w:tab w:val="center" w:pos="4819"/>
        <w:tab w:val="right" w:pos="9638"/>
      </w:tabs>
      <w:spacing w:before="380" w:line="240" w:lineRule="auto"/>
      <w:ind w:left="0" w:hanging="2"/>
      <w:jc w:val="right"/>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fldChar w:fldCharType="begin"/>
    </w:r>
    <w:r>
      <w:rPr>
        <w:rFonts w:ascii="Helvetica Neue" w:eastAsia="Helvetica Neue" w:hAnsi="Helvetica Neue" w:cs="Helvetica Neue"/>
        <w:color w:val="000000"/>
        <w:sz w:val="18"/>
        <w:szCs w:val="18"/>
      </w:rPr>
      <w:instrText>PAGE</w:instrText>
    </w:r>
    <w:r>
      <w:rPr>
        <w:rFonts w:ascii="Helvetica Neue" w:eastAsia="Helvetica Neue" w:hAnsi="Helvetica Neue" w:cs="Helvetica Neue"/>
        <w:color w:val="000000"/>
        <w:sz w:val="18"/>
        <w:szCs w:val="18"/>
      </w:rPr>
      <w:fldChar w:fldCharType="separate"/>
    </w:r>
    <w:r w:rsidR="00F21EB4">
      <w:rPr>
        <w:rFonts w:ascii="Helvetica Neue" w:eastAsia="Helvetica Neue" w:hAnsi="Helvetica Neue" w:cs="Helvetica Neue"/>
        <w:noProof/>
        <w:color w:val="000000"/>
        <w:sz w:val="18"/>
        <w:szCs w:val="18"/>
      </w:rPr>
      <w:t>1</w:t>
    </w:r>
    <w:r>
      <w:rPr>
        <w:rFonts w:ascii="Helvetica Neue" w:eastAsia="Helvetica Neue" w:hAnsi="Helvetica Neue" w:cs="Helvetica Neue"/>
        <w:color w:val="000000"/>
        <w:sz w:val="18"/>
        <w:szCs w:val="18"/>
      </w:rPr>
      <w:fldChar w:fldCharType="end"/>
    </w:r>
  </w:p>
  <w:p w14:paraId="7F242384" w14:textId="77777777" w:rsidR="0093709F" w:rsidRDefault="00DB7C5E">
    <w:pPr>
      <w:pBdr>
        <w:top w:val="nil"/>
        <w:left w:val="nil"/>
        <w:bottom w:val="nil"/>
        <w:right w:val="nil"/>
        <w:between w:val="nil"/>
      </w:pBdr>
      <w:tabs>
        <w:tab w:val="center" w:pos="4819"/>
        <w:tab w:val="right" w:pos="9638"/>
      </w:tabs>
      <w:spacing w:line="240" w:lineRule="auto"/>
      <w:ind w:left="0" w:right="360" w:hanging="2"/>
      <w:rPr>
        <w:rFonts w:ascii="Helvetica Neue" w:eastAsia="Helvetica Neue" w:hAnsi="Helvetica Neue" w:cs="Helvetica Neue"/>
        <w:color w:val="C0C0C0"/>
        <w:sz w:val="16"/>
        <w:szCs w:val="16"/>
      </w:rPr>
    </w:pPr>
    <w:r>
      <w:rPr>
        <w:rFonts w:ascii="Helvetica Neue" w:eastAsia="Helvetica Neue" w:hAnsi="Helvetica Neue" w:cs="Helvetica Neue"/>
        <w:noProof/>
        <w:color w:val="C0C0C0"/>
        <w:sz w:val="16"/>
        <w:szCs w:val="16"/>
      </w:rPr>
      <w:drawing>
        <wp:inline distT="0" distB="0" distL="114300" distR="114300" wp14:anchorId="78D65534" wp14:editId="518FB070">
          <wp:extent cx="2476500" cy="44450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76500" cy="4445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465D2" w14:textId="77777777" w:rsidR="001717D9" w:rsidRDefault="001717D9">
      <w:pPr>
        <w:spacing w:line="240" w:lineRule="auto"/>
        <w:ind w:left="0" w:hanging="2"/>
      </w:pPr>
      <w:r>
        <w:separator/>
      </w:r>
    </w:p>
  </w:footnote>
  <w:footnote w:type="continuationSeparator" w:id="0">
    <w:p w14:paraId="30F671F1" w14:textId="77777777" w:rsidR="001717D9" w:rsidRDefault="001717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4D6F" w14:textId="77777777" w:rsidR="0093709F" w:rsidRDefault="00DB7C5E">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[inserire logo e/o intestazione dello studio]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C6AD" w14:textId="77777777" w:rsidR="0093709F" w:rsidRDefault="0093709F">
    <w:pPr>
      <w:pBdr>
        <w:top w:val="nil"/>
        <w:left w:val="nil"/>
        <w:bottom w:val="nil"/>
        <w:right w:val="nil"/>
        <w:between w:val="nil"/>
      </w:pBdr>
      <w:tabs>
        <w:tab w:val="center" w:pos="4819"/>
        <w:tab w:val="right" w:pos="9638"/>
      </w:tabs>
      <w:spacing w:line="240" w:lineRule="auto"/>
      <w:ind w:left="0" w:hanging="2"/>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14E"/>
    <w:multiLevelType w:val="multilevel"/>
    <w:tmpl w:val="EA484A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C6A6FBE"/>
    <w:multiLevelType w:val="multilevel"/>
    <w:tmpl w:val="32728CDA"/>
    <w:lvl w:ilvl="0">
      <w:start w:val="1"/>
      <w:numFmt w:val="bullet"/>
      <w:pStyle w:val="elencopuntato2"/>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D7D2D8F"/>
    <w:multiLevelType w:val="hybridMultilevel"/>
    <w:tmpl w:val="F47490E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1190593"/>
    <w:multiLevelType w:val="multilevel"/>
    <w:tmpl w:val="294A4F9C"/>
    <w:lvl w:ilvl="0">
      <w:start w:val="1"/>
      <w:numFmt w:val="bullet"/>
      <w:pStyle w:val="elencopuntato1"/>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347073A"/>
    <w:multiLevelType w:val="multilevel"/>
    <w:tmpl w:val="D444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7395C"/>
    <w:multiLevelType w:val="multilevel"/>
    <w:tmpl w:val="3E14F4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5C20F4B"/>
    <w:multiLevelType w:val="hybridMultilevel"/>
    <w:tmpl w:val="A45A8C30"/>
    <w:lvl w:ilvl="0" w:tplc="04100001">
      <w:start w:val="1"/>
      <w:numFmt w:val="bullet"/>
      <w:lvlText w:val=""/>
      <w:lvlJc w:val="left"/>
      <w:pPr>
        <w:ind w:left="362" w:hanging="360"/>
      </w:pPr>
      <w:rPr>
        <w:rFonts w:ascii="Symbol" w:hAnsi="Symbol" w:hint="default"/>
      </w:rPr>
    </w:lvl>
    <w:lvl w:ilvl="1" w:tplc="04100003" w:tentative="1">
      <w:start w:val="1"/>
      <w:numFmt w:val="bullet"/>
      <w:lvlText w:val="o"/>
      <w:lvlJc w:val="left"/>
      <w:pPr>
        <w:ind w:left="1082" w:hanging="360"/>
      </w:pPr>
      <w:rPr>
        <w:rFonts w:ascii="Courier New" w:hAnsi="Courier New" w:cs="Courier New" w:hint="default"/>
      </w:rPr>
    </w:lvl>
    <w:lvl w:ilvl="2" w:tplc="04100005" w:tentative="1">
      <w:start w:val="1"/>
      <w:numFmt w:val="bullet"/>
      <w:lvlText w:val=""/>
      <w:lvlJc w:val="left"/>
      <w:pPr>
        <w:ind w:left="1802" w:hanging="360"/>
      </w:pPr>
      <w:rPr>
        <w:rFonts w:ascii="Wingdings" w:hAnsi="Wingdings" w:hint="default"/>
      </w:rPr>
    </w:lvl>
    <w:lvl w:ilvl="3" w:tplc="04100001" w:tentative="1">
      <w:start w:val="1"/>
      <w:numFmt w:val="bullet"/>
      <w:lvlText w:val=""/>
      <w:lvlJc w:val="left"/>
      <w:pPr>
        <w:ind w:left="2522" w:hanging="360"/>
      </w:pPr>
      <w:rPr>
        <w:rFonts w:ascii="Symbol" w:hAnsi="Symbol" w:hint="default"/>
      </w:rPr>
    </w:lvl>
    <w:lvl w:ilvl="4" w:tplc="04100003" w:tentative="1">
      <w:start w:val="1"/>
      <w:numFmt w:val="bullet"/>
      <w:lvlText w:val="o"/>
      <w:lvlJc w:val="left"/>
      <w:pPr>
        <w:ind w:left="3242" w:hanging="360"/>
      </w:pPr>
      <w:rPr>
        <w:rFonts w:ascii="Courier New" w:hAnsi="Courier New" w:cs="Courier New" w:hint="default"/>
      </w:rPr>
    </w:lvl>
    <w:lvl w:ilvl="5" w:tplc="04100005" w:tentative="1">
      <w:start w:val="1"/>
      <w:numFmt w:val="bullet"/>
      <w:lvlText w:val=""/>
      <w:lvlJc w:val="left"/>
      <w:pPr>
        <w:ind w:left="3962" w:hanging="360"/>
      </w:pPr>
      <w:rPr>
        <w:rFonts w:ascii="Wingdings" w:hAnsi="Wingdings" w:hint="default"/>
      </w:rPr>
    </w:lvl>
    <w:lvl w:ilvl="6" w:tplc="04100001" w:tentative="1">
      <w:start w:val="1"/>
      <w:numFmt w:val="bullet"/>
      <w:lvlText w:val=""/>
      <w:lvlJc w:val="left"/>
      <w:pPr>
        <w:ind w:left="4682" w:hanging="360"/>
      </w:pPr>
      <w:rPr>
        <w:rFonts w:ascii="Symbol" w:hAnsi="Symbol" w:hint="default"/>
      </w:rPr>
    </w:lvl>
    <w:lvl w:ilvl="7" w:tplc="04100003" w:tentative="1">
      <w:start w:val="1"/>
      <w:numFmt w:val="bullet"/>
      <w:lvlText w:val="o"/>
      <w:lvlJc w:val="left"/>
      <w:pPr>
        <w:ind w:left="5402" w:hanging="360"/>
      </w:pPr>
      <w:rPr>
        <w:rFonts w:ascii="Courier New" w:hAnsi="Courier New" w:cs="Courier New" w:hint="default"/>
      </w:rPr>
    </w:lvl>
    <w:lvl w:ilvl="8" w:tplc="04100005" w:tentative="1">
      <w:start w:val="1"/>
      <w:numFmt w:val="bullet"/>
      <w:lvlText w:val=""/>
      <w:lvlJc w:val="left"/>
      <w:pPr>
        <w:ind w:left="6122" w:hanging="360"/>
      </w:pPr>
      <w:rPr>
        <w:rFonts w:ascii="Wingdings" w:hAnsi="Wingdings" w:hint="default"/>
      </w:rPr>
    </w:lvl>
  </w:abstractNum>
  <w:abstractNum w:abstractNumId="7" w15:restartNumberingAfterBreak="0">
    <w:nsid w:val="374934CB"/>
    <w:multiLevelType w:val="hybridMultilevel"/>
    <w:tmpl w:val="21262E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A8670F2"/>
    <w:multiLevelType w:val="hybridMultilevel"/>
    <w:tmpl w:val="A4DE89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B475567"/>
    <w:multiLevelType w:val="hybridMultilevel"/>
    <w:tmpl w:val="21784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33B5212"/>
    <w:multiLevelType w:val="hybridMultilevel"/>
    <w:tmpl w:val="A7505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EF81582"/>
    <w:multiLevelType w:val="hybridMultilevel"/>
    <w:tmpl w:val="A6082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097ED3"/>
    <w:multiLevelType w:val="hybridMultilevel"/>
    <w:tmpl w:val="94749B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D837751"/>
    <w:multiLevelType w:val="multilevel"/>
    <w:tmpl w:val="542476AE"/>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1702" w:hanging="360"/>
      </w:pPr>
      <w:rPr>
        <w:rFonts w:ascii="Wingdings" w:hAnsi="Wingdings" w:cs="Wingdings"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42337E3"/>
    <w:multiLevelType w:val="hybridMultilevel"/>
    <w:tmpl w:val="5F4A22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46336663">
    <w:abstractNumId w:val="3"/>
  </w:num>
  <w:num w:numId="2" w16cid:durableId="1171678865">
    <w:abstractNumId w:val="1"/>
  </w:num>
  <w:num w:numId="3" w16cid:durableId="88357989">
    <w:abstractNumId w:val="8"/>
  </w:num>
  <w:num w:numId="4" w16cid:durableId="1757244922">
    <w:abstractNumId w:val="13"/>
  </w:num>
  <w:num w:numId="5" w16cid:durableId="885681315">
    <w:abstractNumId w:val="14"/>
  </w:num>
  <w:num w:numId="6" w16cid:durableId="1262833997">
    <w:abstractNumId w:val="9"/>
  </w:num>
  <w:num w:numId="7" w16cid:durableId="1453743492">
    <w:abstractNumId w:val="12"/>
  </w:num>
  <w:num w:numId="8" w16cid:durableId="683897177">
    <w:abstractNumId w:val="6"/>
  </w:num>
  <w:num w:numId="9" w16cid:durableId="1122767136">
    <w:abstractNumId w:val="7"/>
  </w:num>
  <w:num w:numId="10" w16cid:durableId="1726104687">
    <w:abstractNumId w:val="4"/>
  </w:num>
  <w:num w:numId="11" w16cid:durableId="740760066">
    <w:abstractNumId w:val="0"/>
  </w:num>
  <w:num w:numId="12" w16cid:durableId="1370255139">
    <w:abstractNumId w:val="10"/>
  </w:num>
  <w:num w:numId="13" w16cid:durableId="1584141732">
    <w:abstractNumId w:val="11"/>
  </w:num>
  <w:num w:numId="14" w16cid:durableId="1500341758">
    <w:abstractNumId w:val="2"/>
  </w:num>
  <w:num w:numId="15" w16cid:durableId="122829753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09F"/>
    <w:rsid w:val="00064C81"/>
    <w:rsid w:val="00100FD3"/>
    <w:rsid w:val="00111213"/>
    <w:rsid w:val="00117AB4"/>
    <w:rsid w:val="00131D82"/>
    <w:rsid w:val="00143E04"/>
    <w:rsid w:val="001717D9"/>
    <w:rsid w:val="00184FF0"/>
    <w:rsid w:val="001D33EF"/>
    <w:rsid w:val="00206D4D"/>
    <w:rsid w:val="002142DF"/>
    <w:rsid w:val="00255441"/>
    <w:rsid w:val="00281492"/>
    <w:rsid w:val="00297210"/>
    <w:rsid w:val="002E11D4"/>
    <w:rsid w:val="002E6FA7"/>
    <w:rsid w:val="00374496"/>
    <w:rsid w:val="003C202A"/>
    <w:rsid w:val="003C20E2"/>
    <w:rsid w:val="003D4BD1"/>
    <w:rsid w:val="0040528A"/>
    <w:rsid w:val="004C604D"/>
    <w:rsid w:val="004E4EF5"/>
    <w:rsid w:val="0054138C"/>
    <w:rsid w:val="0054363F"/>
    <w:rsid w:val="005C2D07"/>
    <w:rsid w:val="0062054F"/>
    <w:rsid w:val="00632F03"/>
    <w:rsid w:val="006577E7"/>
    <w:rsid w:val="00694F1F"/>
    <w:rsid w:val="006A72D7"/>
    <w:rsid w:val="007763F2"/>
    <w:rsid w:val="007F1556"/>
    <w:rsid w:val="007F2CCB"/>
    <w:rsid w:val="00816823"/>
    <w:rsid w:val="00846FB8"/>
    <w:rsid w:val="00855112"/>
    <w:rsid w:val="00865D0B"/>
    <w:rsid w:val="00896AE9"/>
    <w:rsid w:val="00897E44"/>
    <w:rsid w:val="00911AD5"/>
    <w:rsid w:val="0093709F"/>
    <w:rsid w:val="00943C01"/>
    <w:rsid w:val="009C475F"/>
    <w:rsid w:val="00A3369C"/>
    <w:rsid w:val="00A4723D"/>
    <w:rsid w:val="00A83360"/>
    <w:rsid w:val="00A87855"/>
    <w:rsid w:val="00AA136D"/>
    <w:rsid w:val="00AE2F3A"/>
    <w:rsid w:val="00AE6829"/>
    <w:rsid w:val="00B15FDD"/>
    <w:rsid w:val="00B208AC"/>
    <w:rsid w:val="00BB42D9"/>
    <w:rsid w:val="00BD2EDF"/>
    <w:rsid w:val="00BD744A"/>
    <w:rsid w:val="00C31484"/>
    <w:rsid w:val="00C51F5A"/>
    <w:rsid w:val="00C766F7"/>
    <w:rsid w:val="00C77B5B"/>
    <w:rsid w:val="00CD1D35"/>
    <w:rsid w:val="00CE5C0C"/>
    <w:rsid w:val="00CF2457"/>
    <w:rsid w:val="00D40896"/>
    <w:rsid w:val="00D4768A"/>
    <w:rsid w:val="00D55F12"/>
    <w:rsid w:val="00D85442"/>
    <w:rsid w:val="00D9546E"/>
    <w:rsid w:val="00DB7C5E"/>
    <w:rsid w:val="00DF2AA5"/>
    <w:rsid w:val="00E038F5"/>
    <w:rsid w:val="00E478C0"/>
    <w:rsid w:val="00E93FAF"/>
    <w:rsid w:val="00E97BA8"/>
    <w:rsid w:val="00EA300A"/>
    <w:rsid w:val="00EE0D15"/>
    <w:rsid w:val="00F21EB4"/>
    <w:rsid w:val="00F359AC"/>
    <w:rsid w:val="00F46AAC"/>
    <w:rsid w:val="00FC1CE9"/>
    <w:rsid w:val="00FC4A76"/>
    <w:rsid w:val="00FE4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F413F"/>
  <w15:docId w15:val="{E935C478-90C1-7946-ACE1-9D94EB44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spacing w:before="240" w:after="60"/>
    </w:pPr>
    <w:rPr>
      <w:rFonts w:ascii="Arial" w:hAnsi="Arial" w:cs="Arial"/>
      <w:b/>
      <w:bCs/>
      <w:kern w:val="32"/>
      <w:sz w:val="32"/>
      <w:szCs w:val="32"/>
    </w:rPr>
  </w:style>
  <w:style w:type="paragraph" w:styleId="Titolo2">
    <w:name w:val="heading 2"/>
    <w:basedOn w:val="Normale"/>
    <w:next w:val="Normale"/>
    <w:uiPriority w:val="9"/>
    <w:unhideWhenUsed/>
    <w:qFormat/>
    <w:pPr>
      <w:keepNext/>
      <w:spacing w:before="240" w:after="60"/>
      <w:outlineLvl w:val="1"/>
    </w:pPr>
    <w:rPr>
      <w:rFonts w:ascii="Arial" w:hAnsi="Arial" w:cs="Arial"/>
      <w:b/>
      <w:bCs/>
      <w:i/>
      <w:iCs/>
      <w:sz w:val="28"/>
      <w:szCs w:val="28"/>
    </w:rPr>
  </w:style>
  <w:style w:type="paragraph" w:styleId="Titolo3">
    <w:name w:val="heading 3"/>
    <w:basedOn w:val="Normale"/>
    <w:next w:val="Normale"/>
    <w:uiPriority w:val="9"/>
    <w:semiHidden/>
    <w:unhideWhenUsed/>
    <w:qFormat/>
    <w:pPr>
      <w:keepNext/>
      <w:spacing w:before="240" w:after="60"/>
      <w:outlineLvl w:val="2"/>
    </w:pPr>
    <w:rPr>
      <w:rFonts w:ascii="Arial" w:hAnsi="Arial" w:cs="Arial"/>
      <w:b/>
      <w:bCs/>
      <w:sz w:val="26"/>
      <w:szCs w:val="26"/>
    </w:rPr>
  </w:style>
  <w:style w:type="paragraph" w:styleId="Titolo4">
    <w:name w:val="heading 4"/>
    <w:basedOn w:val="Normale"/>
    <w:next w:val="Normale"/>
    <w:uiPriority w:val="9"/>
    <w:semiHidden/>
    <w:unhideWhenUsed/>
    <w:qFormat/>
    <w:pPr>
      <w:keepNext/>
      <w:spacing w:before="240" w:after="60"/>
      <w:outlineLvl w:val="3"/>
    </w:pPr>
    <w:rPr>
      <w:b/>
      <w:bCs/>
      <w:sz w:val="28"/>
      <w:szCs w:val="28"/>
    </w:rPr>
  </w:style>
  <w:style w:type="paragraph" w:styleId="Titolo5">
    <w:name w:val="heading 5"/>
    <w:basedOn w:val="Normale"/>
    <w:next w:val="Normale"/>
    <w:uiPriority w:val="9"/>
    <w:semiHidden/>
    <w:unhideWhenUsed/>
    <w:qFormat/>
    <w:pPr>
      <w:spacing w:before="240" w:after="60"/>
      <w:outlineLvl w:val="4"/>
    </w:pPr>
    <w:rPr>
      <w:rFonts w:ascii="Calibri" w:hAnsi="Calibri"/>
      <w:b/>
      <w:bCs/>
      <w:i/>
      <w:iCs/>
      <w:sz w:val="26"/>
      <w:szCs w:val="26"/>
    </w:rPr>
  </w:style>
  <w:style w:type="paragraph" w:styleId="Titolo6">
    <w:name w:val="heading 6"/>
    <w:basedOn w:val="Normale"/>
    <w:next w:val="Normale"/>
    <w:uiPriority w:val="9"/>
    <w:semiHidden/>
    <w:unhideWhenUsed/>
    <w:qFormat/>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chiusura">
    <w:name w:val="chiusura"/>
    <w:basedOn w:val="Titolo4"/>
    <w:pPr>
      <w:spacing w:before="0" w:after="0"/>
    </w:pPr>
    <w:rPr>
      <w:rFonts w:ascii="Helvetica" w:hAnsi="Helvetica" w:cs="Helvetica"/>
      <w:i/>
      <w:iCs/>
      <w:sz w:val="16"/>
      <w:szCs w:val="24"/>
    </w:rPr>
  </w:style>
  <w:style w:type="character" w:styleId="Collegamentoipertestuale">
    <w:name w:val="Hyperlink"/>
    <w:rPr>
      <w:color w:val="0000FF"/>
      <w:w w:val="100"/>
      <w:position w:val="-1"/>
      <w:u w:val="single"/>
      <w:effect w:val="none"/>
      <w:vertAlign w:val="baseline"/>
      <w:cs w:val="0"/>
      <w:em w:val="none"/>
    </w:rPr>
  </w:style>
  <w:style w:type="paragraph" w:styleId="Corpotesto">
    <w:name w:val="Body Text"/>
    <w:basedOn w:val="Normale"/>
    <w:pPr>
      <w:spacing w:after="120" w:line="360" w:lineRule="auto"/>
      <w:jc w:val="both"/>
    </w:pPr>
    <w:rPr>
      <w:rFonts w:ascii="Helvetica" w:hAnsi="Helvetica"/>
      <w:sz w:val="20"/>
    </w:rPr>
  </w:style>
  <w:style w:type="paragraph" w:customStyle="1" w:styleId="datapubblicazione">
    <w:name w:val="data pubblicazione"/>
    <w:basedOn w:val="Normale"/>
    <w:pPr>
      <w:ind w:left="4111"/>
    </w:pPr>
    <w:rPr>
      <w:rFonts w:ascii="Helvetica" w:hAnsi="Helvetica"/>
      <w:color w:val="000000"/>
      <w:w w:val="95"/>
    </w:rPr>
  </w:style>
  <w:style w:type="paragraph" w:customStyle="1" w:styleId="Dirittiriservati">
    <w:name w:val="Diritti riservati"/>
    <w:basedOn w:val="Normale"/>
    <w:pPr>
      <w:jc w:val="both"/>
    </w:pPr>
    <w:rPr>
      <w:rFonts w:ascii="Helvetica" w:hAnsi="Helvetica"/>
      <w:color w:val="808080"/>
      <w:sz w:val="16"/>
    </w:rPr>
  </w:style>
  <w:style w:type="paragraph" w:customStyle="1" w:styleId="disclaimer">
    <w:name w:val="disclaimer"/>
    <w:basedOn w:val="Corpotesto"/>
    <w:pPr>
      <w:spacing w:after="0" w:line="240" w:lineRule="auto"/>
    </w:pPr>
    <w:rPr>
      <w:sz w:val="16"/>
    </w:rPr>
  </w:style>
  <w:style w:type="paragraph" w:customStyle="1" w:styleId="elencopuntato1">
    <w:name w:val="elenco puntato1"/>
    <w:basedOn w:val="Corpotesto"/>
    <w:pPr>
      <w:numPr>
        <w:numId w:val="1"/>
      </w:numPr>
      <w:ind w:left="-1" w:hanging="1"/>
    </w:pPr>
  </w:style>
  <w:style w:type="paragraph" w:customStyle="1" w:styleId="elencopuntato2">
    <w:name w:val="elenco puntato2"/>
    <w:basedOn w:val="Corpotesto"/>
    <w:pPr>
      <w:numPr>
        <w:numId w:val="2"/>
      </w:numPr>
      <w:ind w:left="-1" w:hanging="1"/>
    </w:pPr>
  </w:style>
  <w:style w:type="paragraph" w:styleId="Indice1">
    <w:name w:val="index 1"/>
    <w:basedOn w:val="Normale"/>
    <w:next w:val="Normale"/>
    <w:pPr>
      <w:spacing w:after="120" w:line="312" w:lineRule="auto"/>
      <w:ind w:left="4111"/>
    </w:pPr>
    <w:rPr>
      <w:rFonts w:ascii="Helvetica" w:hAnsi="Helvetica"/>
      <w:noProof/>
      <w:color w:val="808080"/>
      <w:sz w:val="28"/>
    </w:rPr>
  </w:style>
  <w:style w:type="paragraph" w:customStyle="1" w:styleId="indirizzowww">
    <w:name w:val="indirizzo www"/>
    <w:basedOn w:val="datapubblicazione"/>
    <w:rPr>
      <w:color w:val="C0C0C0"/>
    </w:rPr>
  </w:style>
  <w:style w:type="paragraph" w:styleId="Intestazione">
    <w:name w:val="header"/>
    <w:basedOn w:val="Normale"/>
    <w:pPr>
      <w:tabs>
        <w:tab w:val="center" w:pos="4819"/>
        <w:tab w:val="right" w:pos="9638"/>
      </w:tabs>
    </w:pPr>
  </w:style>
  <w:style w:type="paragraph" w:customStyle="1" w:styleId="redattore">
    <w:name w:val="redattore"/>
    <w:basedOn w:val="Normale"/>
    <w:pPr>
      <w:jc w:val="center"/>
    </w:pPr>
    <w:rPr>
      <w:rFonts w:ascii="Helvetica" w:hAnsi="Helvetica"/>
      <w:i/>
      <w:sz w:val="20"/>
    </w:rPr>
  </w:style>
  <w:style w:type="paragraph" w:customStyle="1" w:styleId="marginiredattore">
    <w:name w:val="marginiredattore"/>
    <w:basedOn w:val="redattore"/>
    <w:rPr>
      <w:color w:val="333399"/>
      <w:sz w:val="24"/>
    </w:rPr>
  </w:style>
  <w:style w:type="character" w:styleId="Numeropagina">
    <w:name w:val="page number"/>
    <w:rPr>
      <w:rFonts w:ascii="Helvetica" w:hAnsi="Helvetica" w:cs="Times New Roman"/>
      <w:color w:val="C0C0C0"/>
      <w:w w:val="100"/>
      <w:position w:val="-1"/>
      <w:sz w:val="18"/>
      <w:effect w:val="none"/>
      <w:vertAlign w:val="baseline"/>
      <w:cs w:val="0"/>
      <w:em w:val="none"/>
    </w:rPr>
  </w:style>
  <w:style w:type="paragraph" w:styleId="Pidipagina">
    <w:name w:val="footer"/>
    <w:basedOn w:val="Normale"/>
    <w:pPr>
      <w:tabs>
        <w:tab w:val="center" w:pos="4819"/>
        <w:tab w:val="right" w:pos="9638"/>
      </w:tabs>
      <w:ind w:left="4139"/>
    </w:pPr>
    <w:rPr>
      <w:rFonts w:ascii="Helvetica" w:hAnsi="Helvetica"/>
      <w:color w:val="C0C0C0"/>
      <w:sz w:val="16"/>
    </w:rPr>
  </w:style>
  <w:style w:type="paragraph" w:customStyle="1" w:styleId="Pidipaginasezionecontenuti">
    <w:name w:val="Piè di pagina sezione contenuti"/>
    <w:basedOn w:val="Pidipagina"/>
    <w:pPr>
      <w:ind w:left="2268"/>
    </w:pPr>
  </w:style>
  <w:style w:type="paragraph" w:customStyle="1" w:styleId="redatto">
    <w:name w:val="redatto"/>
    <w:basedOn w:val="Normale"/>
    <w:pPr>
      <w:ind w:left="4111"/>
    </w:pPr>
    <w:rPr>
      <w:rFonts w:ascii="Helvetica" w:hAnsi="Helvetica"/>
      <w:color w:val="808080"/>
    </w:rPr>
  </w:style>
  <w:style w:type="paragraph" w:customStyle="1" w:styleId="titolodocumento">
    <w:name w:val="titolo documento"/>
    <w:basedOn w:val="Normale"/>
    <w:pPr>
      <w:ind w:right="-30"/>
      <w:jc w:val="center"/>
    </w:pPr>
    <w:rPr>
      <w:rFonts w:ascii="Georgia" w:hAnsi="Georgia"/>
      <w:b/>
      <w:bCs/>
      <w:imprint/>
      <w:color w:val="000099"/>
      <w:sz w:val="40"/>
      <w:szCs w:val="28"/>
    </w:rPr>
  </w:style>
  <w:style w:type="paragraph" w:styleId="Titoloindice">
    <w:name w:val="index heading"/>
    <w:basedOn w:val="Normale"/>
    <w:next w:val="Indice1"/>
  </w:style>
  <w:style w:type="paragraph" w:customStyle="1" w:styleId="titolo10">
    <w:name w:val="titolo1"/>
    <w:basedOn w:val="Titolo1"/>
    <w:rPr>
      <w:rFonts w:ascii="Bookman Old Style" w:hAnsi="Bookman Old Style" w:cs="Times New Roman"/>
      <w:color w:val="000099"/>
      <w:kern w:val="28"/>
      <w:sz w:val="28"/>
      <w:szCs w:val="24"/>
    </w:rPr>
  </w:style>
  <w:style w:type="paragraph" w:customStyle="1" w:styleId="titolo20">
    <w:name w:val="titolo2"/>
    <w:basedOn w:val="Titolo2"/>
    <w:rPr>
      <w:rFonts w:ascii="Bookman Old Style" w:hAnsi="Bookman Old Style" w:cs="Times New Roman"/>
      <w:bCs w:val="0"/>
      <w:iCs w:val="0"/>
      <w:color w:val="000099"/>
      <w:sz w:val="22"/>
      <w:szCs w:val="24"/>
    </w:rPr>
  </w:style>
  <w:style w:type="paragraph" w:customStyle="1" w:styleId="titolo30">
    <w:name w:val="titolo3"/>
    <w:basedOn w:val="Titolo3"/>
    <w:rPr>
      <w:rFonts w:ascii="Bookman Old Style" w:hAnsi="Bookman Old Style" w:cs="Times New Roman"/>
      <w:b w:val="0"/>
      <w:bCs w:val="0"/>
      <w:i/>
      <w:iCs/>
      <w:color w:val="000099"/>
      <w:sz w:val="22"/>
      <w:szCs w:val="24"/>
    </w:rPr>
  </w:style>
  <w:style w:type="paragraph" w:customStyle="1" w:styleId="abstract">
    <w:name w:val="abstract"/>
    <w:basedOn w:val="Normale"/>
    <w:pPr>
      <w:ind w:right="-30"/>
      <w:jc w:val="center"/>
    </w:pPr>
    <w:rPr>
      <w:rFonts w:ascii="Helvetica" w:hAnsi="Helvetica"/>
      <w:b/>
      <w:bCs/>
      <w:i/>
      <w:iCs/>
      <w:sz w:val="20"/>
      <w:szCs w:val="28"/>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rPr>
      <w:rFonts w:ascii="Helvetica" w:hAnsi="Helvetica"/>
      <w:w w:val="100"/>
      <w:position w:val="-1"/>
      <w:szCs w:val="24"/>
      <w:effect w:val="none"/>
      <w:vertAlign w:val="baseline"/>
      <w:cs w:val="0"/>
      <w:em w:val="none"/>
      <w:lang w:val="it-IT" w:eastAsia="it-IT" w:bidi="ar-SA"/>
    </w:rPr>
  </w:style>
  <w:style w:type="character" w:customStyle="1" w:styleId="elencopuntato1Carattere">
    <w:name w:val="elenco puntato1 Carattere"/>
    <w:basedOn w:val="CorpotestoCarattere"/>
    <w:rPr>
      <w:rFonts w:ascii="Helvetica" w:hAnsi="Helvetica"/>
      <w:w w:val="100"/>
      <w:position w:val="-1"/>
      <w:szCs w:val="24"/>
      <w:effect w:val="none"/>
      <w:vertAlign w:val="baseline"/>
      <w:cs w:val="0"/>
      <w:em w:val="none"/>
      <w:lang w:val="it-IT" w:eastAsia="it-IT" w:bidi="ar-SA"/>
    </w:rPr>
  </w:style>
  <w:style w:type="character" w:customStyle="1" w:styleId="elencopuntato2Carattere">
    <w:name w:val="elenco puntato2 Carattere"/>
    <w:basedOn w:val="CorpotestoCarattere"/>
    <w:rPr>
      <w:rFonts w:ascii="Helvetica" w:hAnsi="Helvetica"/>
      <w:w w:val="100"/>
      <w:position w:val="-1"/>
      <w:szCs w:val="24"/>
      <w:effect w:val="none"/>
      <w:vertAlign w:val="baseline"/>
      <w:cs w:val="0"/>
      <w:em w:val="none"/>
      <w:lang w:val="it-IT" w:eastAsia="it-IT" w:bidi="ar-SA"/>
    </w:rPr>
  </w:style>
  <w:style w:type="paragraph" w:customStyle="1" w:styleId="hTestoTabella">
    <w:name w:val="h) Testo Tabella"/>
    <w:basedOn w:val="Normale"/>
    <w:pPr>
      <w:widowControl w:val="0"/>
      <w:autoSpaceDE w:val="0"/>
      <w:autoSpaceDN w:val="0"/>
      <w:adjustRightInd w:val="0"/>
      <w:spacing w:line="258" w:lineRule="atLeast"/>
      <w:jc w:val="both"/>
      <w:textAlignment w:val="center"/>
    </w:pPr>
    <w:rPr>
      <w:rFonts w:ascii="Eurostile" w:hAnsi="Eurostile"/>
      <w:color w:val="000000"/>
      <w:sz w:val="20"/>
      <w:szCs w:val="20"/>
    </w:rPr>
  </w:style>
  <w:style w:type="paragraph" w:styleId="Testonormale">
    <w:name w:val="Plain Text"/>
    <w:basedOn w:val="Normale"/>
    <w:rPr>
      <w:rFonts w:ascii="Courier New" w:hAnsi="Courier New" w:cs="Courier New"/>
      <w:sz w:val="20"/>
      <w:szCs w:val="20"/>
    </w:rPr>
  </w:style>
  <w:style w:type="character" w:customStyle="1" w:styleId="apple-converted-space">
    <w:name w:val="apple-converted-space"/>
    <w:basedOn w:val="Carpredefinitoparagrafo"/>
    <w:rPr>
      <w:w w:val="100"/>
      <w:position w:val="-1"/>
      <w:effect w:val="none"/>
      <w:vertAlign w:val="baseline"/>
      <w:cs w:val="0"/>
      <w:em w:val="none"/>
    </w:rPr>
  </w:style>
  <w:style w:type="paragraph" w:styleId="NormaleWeb">
    <w:name w:val="Normal (Web)"/>
    <w:basedOn w:val="Normale"/>
    <w:uiPriority w:val="99"/>
    <w:pPr>
      <w:spacing w:before="100" w:beforeAutospacing="1" w:after="100" w:afterAutospacing="1"/>
    </w:pPr>
  </w:style>
  <w:style w:type="character" w:styleId="Enfasicorsivo">
    <w:name w:val="Emphasis"/>
    <w:uiPriority w:val="20"/>
    <w:qFormat/>
    <w:rPr>
      <w:i/>
      <w:iCs/>
      <w:w w:val="100"/>
      <w:position w:val="-1"/>
      <w:effect w:val="none"/>
      <w:vertAlign w:val="baseline"/>
      <w:cs w:val="0"/>
      <w:em w:val="none"/>
    </w:rPr>
  </w:style>
  <w:style w:type="character" w:styleId="Enfasigrassetto">
    <w:name w:val="Strong"/>
    <w:uiPriority w:val="22"/>
    <w:qFormat/>
    <w:rPr>
      <w:b/>
      <w:bCs/>
      <w:w w:val="100"/>
      <w:position w:val="-1"/>
      <w:effect w:val="none"/>
      <w:vertAlign w:val="baseline"/>
      <w:cs w:val="0"/>
      <w:em w:val="none"/>
    </w:rPr>
  </w:style>
  <w:style w:type="paragraph" w:styleId="Data">
    <w:name w:val="Date"/>
    <w:basedOn w:val="Normale"/>
    <w:next w:val="Normale"/>
  </w:style>
  <w:style w:type="paragraph" w:styleId="Mappadocumento">
    <w:name w:val="Document Map"/>
    <w:basedOn w:val="Normale"/>
    <w:pPr>
      <w:shd w:val="clear" w:color="auto" w:fill="000080"/>
    </w:pPr>
    <w:rPr>
      <w:rFonts w:ascii="Tahoma" w:hAnsi="Tahoma" w:cs="Tahoma"/>
      <w:sz w:val="20"/>
      <w:szCs w:val="20"/>
    </w:rPr>
  </w:style>
  <w:style w:type="paragraph" w:styleId="Testofumetto">
    <w:name w:val="Balloon Text"/>
    <w:basedOn w:val="Normale"/>
    <w:rPr>
      <w:rFonts w:ascii="Tahoma" w:hAnsi="Tahoma" w:cs="Tahoma"/>
      <w:sz w:val="16"/>
      <w:szCs w:val="16"/>
    </w:rPr>
  </w:style>
  <w:style w:type="character" w:customStyle="1" w:styleId="TestonormaleCarattere">
    <w:name w:val="Testo normale Carattere"/>
    <w:rPr>
      <w:rFonts w:ascii="Courier New" w:hAnsi="Courier New" w:cs="Courier New"/>
      <w:w w:val="100"/>
      <w:position w:val="-1"/>
      <w:effect w:val="none"/>
      <w:vertAlign w:val="baseline"/>
      <w:cs w:val="0"/>
      <w:em w:val="none"/>
      <w:lang w:val="it-IT" w:eastAsia="it-IT" w:bidi="ar-SA"/>
    </w:rPr>
  </w:style>
  <w:style w:type="paragraph" w:customStyle="1" w:styleId="Elencoacolori-Colore11">
    <w:name w:val="Elenco a colori - Colore 11"/>
    <w:basedOn w:val="Normale"/>
    <w:pPr>
      <w:spacing w:after="160" w:line="259" w:lineRule="auto"/>
      <w:ind w:left="720"/>
      <w:contextualSpacing/>
    </w:pPr>
    <w:rPr>
      <w:rFonts w:ascii="Calibri" w:eastAsia="Calibri" w:hAnsi="Calibri"/>
      <w:sz w:val="22"/>
      <w:szCs w:val="22"/>
      <w:lang w:eastAsia="en-US"/>
    </w:rPr>
  </w:style>
  <w:style w:type="character" w:customStyle="1" w:styleId="doccorrtitolo">
    <w:name w:val="doc_corr_titolo"/>
    <w:rPr>
      <w:w w:val="100"/>
      <w:position w:val="-1"/>
      <w:effect w:val="none"/>
      <w:vertAlign w:val="baseline"/>
      <w:cs w:val="0"/>
      <w:em w:val="none"/>
    </w:rPr>
  </w:style>
  <w:style w:type="character" w:customStyle="1" w:styleId="doctitolofile">
    <w:name w:val="doc_titolo_file"/>
    <w:rPr>
      <w:w w:val="100"/>
      <w:position w:val="-1"/>
      <w:effect w:val="none"/>
      <w:vertAlign w:val="baseline"/>
      <w:cs w:val="0"/>
      <w:em w:val="none"/>
    </w:rPr>
  </w:style>
  <w:style w:type="character" w:customStyle="1" w:styleId="Titolo2Carattere">
    <w:name w:val="Titolo 2 Carattere"/>
    <w:uiPriority w:val="9"/>
    <w:rPr>
      <w:rFonts w:ascii="Arial" w:hAnsi="Arial" w:cs="Arial"/>
      <w:b/>
      <w:bCs/>
      <w:i/>
      <w:iCs/>
      <w:w w:val="100"/>
      <w:position w:val="-1"/>
      <w:sz w:val="28"/>
      <w:szCs w:val="28"/>
      <w:effect w:val="none"/>
      <w:vertAlign w:val="baseline"/>
      <w:cs w:val="0"/>
      <w:em w:val="none"/>
    </w:rPr>
  </w:style>
  <w:style w:type="paragraph" w:customStyle="1" w:styleId="desctxt">
    <w:name w:val="desc_txt"/>
    <w:basedOn w:val="Normale"/>
    <w:pPr>
      <w:spacing w:before="100" w:beforeAutospacing="1" w:after="100" w:afterAutospacing="1"/>
    </w:p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rPr>
  </w:style>
  <w:style w:type="character" w:customStyle="1" w:styleId="nero">
    <w:name w:val="nero"/>
    <w:rPr>
      <w:w w:val="100"/>
      <w:position w:val="-1"/>
      <w:effect w:val="none"/>
      <w:vertAlign w:val="baseline"/>
      <w:cs w:val="0"/>
      <w:em w:val="none"/>
    </w:rPr>
  </w:style>
  <w:style w:type="paragraph" w:customStyle="1" w:styleId="attenzione">
    <w:name w:val="attenzione"/>
    <w:basedOn w:val="Normale"/>
    <w:pPr>
      <w:spacing w:before="100" w:beforeAutospacing="1" w:after="100" w:afterAutospacing="1"/>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entury Gothic" w:hAnsi="Century Gothic" w:cs="Century Gothic"/>
      <w:color w:val="000000"/>
      <w:position w:val="-1"/>
      <w:sz w:val="24"/>
      <w:szCs w:val="24"/>
    </w:rPr>
  </w:style>
  <w:style w:type="paragraph" w:styleId="Corpodeltesto3">
    <w:name w:val="Body Text 3"/>
    <w:basedOn w:val="Normale"/>
    <w:qFormat/>
    <w:pPr>
      <w:spacing w:after="120" w:line="259" w:lineRule="auto"/>
    </w:pPr>
    <w:rPr>
      <w:rFonts w:ascii="Calibri" w:eastAsia="Calibri" w:hAnsi="Calibri"/>
      <w:sz w:val="16"/>
      <w:szCs w:val="16"/>
      <w:lang w:eastAsia="en-US"/>
    </w:rPr>
  </w:style>
  <w:style w:type="character" w:customStyle="1" w:styleId="Corpodeltesto3Carattere">
    <w:name w:val="Corpo del testo 3 Carattere"/>
    <w:rPr>
      <w:rFonts w:ascii="Calibri" w:eastAsia="Calibri" w:hAnsi="Calibri"/>
      <w:w w:val="100"/>
      <w:position w:val="-1"/>
      <w:sz w:val="16"/>
      <w:szCs w:val="16"/>
      <w:effect w:val="none"/>
      <w:vertAlign w:val="baseline"/>
      <w:cs w:val="0"/>
      <w:em w:val="none"/>
      <w:lang w:eastAsia="en-US"/>
    </w:rPr>
  </w:style>
  <w:style w:type="character" w:customStyle="1" w:styleId="rifnormativobo">
    <w:name w:val="rifnormativo_bo"/>
    <w:rPr>
      <w:w w:val="100"/>
      <w:position w:val="-1"/>
      <w:effect w:val="none"/>
      <w:vertAlign w:val="baseline"/>
      <w:cs w:val="0"/>
      <w:em w:val="none"/>
    </w:rPr>
  </w:style>
  <w:style w:type="character" w:styleId="Collegamentovisitato">
    <w:name w:val="FollowedHyperlink"/>
    <w:rPr>
      <w:color w:val="954F72"/>
      <w:w w:val="100"/>
      <w:position w:val="-1"/>
      <w:u w:val="single"/>
      <w:effect w:val="none"/>
      <w:vertAlign w:val="baseline"/>
      <w:cs w:val="0"/>
      <w:em w:val="none"/>
    </w:rPr>
  </w:style>
  <w:style w:type="character" w:customStyle="1" w:styleId="10l">
    <w:name w:val="10l"/>
    <w:rPr>
      <w:w w:val="100"/>
      <w:position w:val="-1"/>
      <w:effect w:val="none"/>
      <w:vertAlign w:val="baseline"/>
      <w:cs w:val="0"/>
      <w:em w:val="none"/>
    </w:rPr>
  </w:style>
  <w:style w:type="paragraph" w:customStyle="1" w:styleId="testo">
    <w:name w:val="testo"/>
    <w:basedOn w:val="Normale"/>
    <w:pPr>
      <w:spacing w:before="100" w:beforeAutospacing="1" w:after="100" w:afterAutospacing="1"/>
    </w:pPr>
  </w:style>
  <w:style w:type="paragraph" w:customStyle="1" w:styleId="testo-r1">
    <w:name w:val="testo-r1"/>
    <w:basedOn w:val="Normale"/>
    <w:pPr>
      <w:spacing w:before="100" w:beforeAutospacing="1" w:after="100" w:afterAutospacing="1"/>
    </w:pPr>
  </w:style>
  <w:style w:type="table" w:customStyle="1" w:styleId="TableGrid">
    <w:name w:val="TableGrid"/>
    <w:pPr>
      <w:suppressAutoHyphens/>
      <w:spacing w:line="1" w:lineRule="atLeast"/>
      <w:ind w:leftChars="-1" w:left="-1" w:hangingChars="1" w:hanging="1"/>
      <w:textDirection w:val="btLr"/>
      <w:textAlignment w:val="top"/>
      <w:outlineLvl w:val="0"/>
    </w:pPr>
    <w:rPr>
      <w:rFonts w:ascii="Calibri" w:hAnsi="Calibri"/>
      <w:position w:val="-1"/>
      <w:sz w:val="22"/>
      <w:szCs w:val="22"/>
    </w:rPr>
    <w:tblPr>
      <w:tblCellMar>
        <w:top w:w="0" w:type="dxa"/>
        <w:left w:w="0" w:type="dxa"/>
        <w:bottom w:w="0" w:type="dxa"/>
        <w:right w:w="0" w:type="dxa"/>
      </w:tblCellMar>
    </w:tblPr>
  </w:style>
  <w:style w:type="character" w:customStyle="1" w:styleId="Titolo6Carattere">
    <w:name w:val="Titolo 6 Carattere"/>
    <w:rPr>
      <w:rFonts w:ascii="Calibri" w:eastAsia="Times New Roman" w:hAnsi="Calibri" w:cs="Times New Roman"/>
      <w:b/>
      <w:bCs/>
      <w:w w:val="100"/>
      <w:position w:val="-1"/>
      <w:sz w:val="22"/>
      <w:szCs w:val="22"/>
      <w:effect w:val="none"/>
      <w:vertAlign w:val="baseline"/>
      <w:cs w:val="0"/>
      <w:em w:val="none"/>
    </w:rPr>
  </w:style>
  <w:style w:type="paragraph" w:customStyle="1" w:styleId="contenutotabella">
    <w:name w:val="contenutotabella"/>
    <w:basedOn w:val="Normale"/>
    <w:pPr>
      <w:spacing w:before="100" w:beforeAutospacing="1" w:after="100" w:afterAutospacing="1"/>
    </w:pPr>
  </w:style>
  <w:style w:type="paragraph" w:customStyle="1" w:styleId="testopreformattato">
    <w:name w:val="testopreformattato"/>
    <w:basedOn w:val="Normale"/>
    <w:pPr>
      <w:spacing w:before="100" w:beforeAutospacing="1" w:after="100" w:afterAutospacing="1"/>
    </w:pPr>
  </w:style>
  <w:style w:type="paragraph" w:customStyle="1" w:styleId="boxattenzione">
    <w:name w:val="boxattenzione"/>
    <w:basedOn w:val="Normale"/>
    <w:pPr>
      <w:spacing w:before="100" w:beforeAutospacing="1" w:after="100" w:afterAutospacing="1"/>
    </w:pPr>
  </w:style>
  <w:style w:type="paragraph" w:customStyle="1" w:styleId="preformattedtext">
    <w:name w:val="preformattedtext"/>
    <w:basedOn w:val="Normale"/>
    <w:pPr>
      <w:spacing w:before="100" w:beforeAutospacing="1" w:after="100" w:afterAutospacing="1"/>
    </w:pPr>
  </w:style>
  <w:style w:type="paragraph" w:customStyle="1" w:styleId="standard">
    <w:name w:val="standard"/>
    <w:basedOn w:val="Normale"/>
    <w:pPr>
      <w:spacing w:before="100" w:beforeAutospacing="1" w:after="100" w:afterAutospacing="1"/>
    </w:pPr>
  </w:style>
  <w:style w:type="table" w:styleId="Tabellatema">
    <w:name w:val="Table Theme"/>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e"/>
    <w:pPr>
      <w:spacing w:before="100" w:beforeAutospacing="1" w:after="100" w:afterAutospacing="1"/>
    </w:pPr>
  </w:style>
  <w:style w:type="paragraph" w:customStyle="1" w:styleId="corpodeltesto">
    <w:name w:val="corpo del testo"/>
    <w:basedOn w:val="Testonormale"/>
    <w:pPr>
      <w:spacing w:line="280" w:lineRule="atLeast"/>
      <w:ind w:left="1259"/>
      <w:jc w:val="both"/>
    </w:pPr>
    <w:rPr>
      <w:rFonts w:ascii="Arial" w:hAnsi="Arial" w:cs="Arial"/>
      <w:sz w:val="22"/>
      <w:szCs w:val="23"/>
    </w:rPr>
  </w:style>
  <w:style w:type="character" w:customStyle="1" w:styleId="corpodeltestoCarattere">
    <w:name w:val="corpo del testo Carattere"/>
    <w:rPr>
      <w:rFonts w:ascii="Arial" w:hAnsi="Arial" w:cs="Arial"/>
      <w:w w:val="100"/>
      <w:position w:val="-1"/>
      <w:sz w:val="22"/>
      <w:szCs w:val="23"/>
      <w:effect w:val="none"/>
      <w:vertAlign w:val="baseline"/>
      <w:cs w:val="0"/>
      <w:em w:val="none"/>
    </w:rPr>
  </w:style>
  <w:style w:type="character" w:customStyle="1" w:styleId="linkblu">
    <w:name w:val="linkblu"/>
    <w:rPr>
      <w:w w:val="100"/>
      <w:position w:val="-1"/>
      <w:effect w:val="none"/>
      <w:vertAlign w:val="baseline"/>
      <w:cs w:val="0"/>
      <w:em w:val="none"/>
    </w:rPr>
  </w:style>
  <w:style w:type="character" w:styleId="Menzionenonrisolta">
    <w:name w:val="Unresolved Mention"/>
    <w:rPr>
      <w:color w:val="605E5C"/>
      <w:w w:val="100"/>
      <w:position w:val="-1"/>
      <w:effect w:val="none"/>
      <w:shd w:val="clear" w:color="auto" w:fill="E1DFDD"/>
      <w:vertAlign w:val="baseline"/>
      <w:cs w:val="0"/>
      <w:em w:val="none"/>
    </w:rPr>
  </w:style>
  <w:style w:type="paragraph" w:styleId="Revisione">
    <w:name w:val="Revision"/>
    <w:qFormat/>
    <w:pPr>
      <w:suppressAutoHyphens/>
      <w:spacing w:line="1" w:lineRule="atLeast"/>
      <w:ind w:leftChars="-1" w:left="-1" w:hangingChars="1" w:hanging="1"/>
      <w:textDirection w:val="btLr"/>
      <w:textAlignment w:val="top"/>
      <w:outlineLvl w:val="0"/>
    </w:pPr>
    <w:rPr>
      <w:position w:val="-1"/>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F21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305">
      <w:bodyDiv w:val="1"/>
      <w:marLeft w:val="0"/>
      <w:marRight w:val="0"/>
      <w:marTop w:val="0"/>
      <w:marBottom w:val="0"/>
      <w:divBdr>
        <w:top w:val="none" w:sz="0" w:space="0" w:color="auto"/>
        <w:left w:val="none" w:sz="0" w:space="0" w:color="auto"/>
        <w:bottom w:val="none" w:sz="0" w:space="0" w:color="auto"/>
        <w:right w:val="none" w:sz="0" w:space="0" w:color="auto"/>
      </w:divBdr>
    </w:div>
    <w:div w:id="71242570">
      <w:bodyDiv w:val="1"/>
      <w:marLeft w:val="0"/>
      <w:marRight w:val="0"/>
      <w:marTop w:val="0"/>
      <w:marBottom w:val="0"/>
      <w:divBdr>
        <w:top w:val="none" w:sz="0" w:space="0" w:color="auto"/>
        <w:left w:val="none" w:sz="0" w:space="0" w:color="auto"/>
        <w:bottom w:val="none" w:sz="0" w:space="0" w:color="auto"/>
        <w:right w:val="none" w:sz="0" w:space="0" w:color="auto"/>
      </w:divBdr>
    </w:div>
    <w:div w:id="103768080">
      <w:bodyDiv w:val="1"/>
      <w:marLeft w:val="0"/>
      <w:marRight w:val="0"/>
      <w:marTop w:val="0"/>
      <w:marBottom w:val="0"/>
      <w:divBdr>
        <w:top w:val="none" w:sz="0" w:space="0" w:color="auto"/>
        <w:left w:val="none" w:sz="0" w:space="0" w:color="auto"/>
        <w:bottom w:val="none" w:sz="0" w:space="0" w:color="auto"/>
        <w:right w:val="none" w:sz="0" w:space="0" w:color="auto"/>
      </w:divBdr>
    </w:div>
    <w:div w:id="193006684">
      <w:bodyDiv w:val="1"/>
      <w:marLeft w:val="0"/>
      <w:marRight w:val="0"/>
      <w:marTop w:val="0"/>
      <w:marBottom w:val="0"/>
      <w:divBdr>
        <w:top w:val="none" w:sz="0" w:space="0" w:color="auto"/>
        <w:left w:val="none" w:sz="0" w:space="0" w:color="auto"/>
        <w:bottom w:val="none" w:sz="0" w:space="0" w:color="auto"/>
        <w:right w:val="none" w:sz="0" w:space="0" w:color="auto"/>
      </w:divBdr>
    </w:div>
    <w:div w:id="234631552">
      <w:bodyDiv w:val="1"/>
      <w:marLeft w:val="0"/>
      <w:marRight w:val="0"/>
      <w:marTop w:val="0"/>
      <w:marBottom w:val="0"/>
      <w:divBdr>
        <w:top w:val="none" w:sz="0" w:space="0" w:color="auto"/>
        <w:left w:val="none" w:sz="0" w:space="0" w:color="auto"/>
        <w:bottom w:val="none" w:sz="0" w:space="0" w:color="auto"/>
        <w:right w:val="none" w:sz="0" w:space="0" w:color="auto"/>
      </w:divBdr>
    </w:div>
    <w:div w:id="340133425">
      <w:bodyDiv w:val="1"/>
      <w:marLeft w:val="0"/>
      <w:marRight w:val="0"/>
      <w:marTop w:val="0"/>
      <w:marBottom w:val="0"/>
      <w:divBdr>
        <w:top w:val="none" w:sz="0" w:space="0" w:color="auto"/>
        <w:left w:val="none" w:sz="0" w:space="0" w:color="auto"/>
        <w:bottom w:val="none" w:sz="0" w:space="0" w:color="auto"/>
        <w:right w:val="none" w:sz="0" w:space="0" w:color="auto"/>
      </w:divBdr>
    </w:div>
    <w:div w:id="400559938">
      <w:bodyDiv w:val="1"/>
      <w:marLeft w:val="0"/>
      <w:marRight w:val="0"/>
      <w:marTop w:val="0"/>
      <w:marBottom w:val="0"/>
      <w:divBdr>
        <w:top w:val="none" w:sz="0" w:space="0" w:color="auto"/>
        <w:left w:val="none" w:sz="0" w:space="0" w:color="auto"/>
        <w:bottom w:val="none" w:sz="0" w:space="0" w:color="auto"/>
        <w:right w:val="none" w:sz="0" w:space="0" w:color="auto"/>
      </w:divBdr>
    </w:div>
    <w:div w:id="442655975">
      <w:bodyDiv w:val="1"/>
      <w:marLeft w:val="0"/>
      <w:marRight w:val="0"/>
      <w:marTop w:val="0"/>
      <w:marBottom w:val="0"/>
      <w:divBdr>
        <w:top w:val="none" w:sz="0" w:space="0" w:color="auto"/>
        <w:left w:val="none" w:sz="0" w:space="0" w:color="auto"/>
        <w:bottom w:val="none" w:sz="0" w:space="0" w:color="auto"/>
        <w:right w:val="none" w:sz="0" w:space="0" w:color="auto"/>
      </w:divBdr>
    </w:div>
    <w:div w:id="482310833">
      <w:bodyDiv w:val="1"/>
      <w:marLeft w:val="0"/>
      <w:marRight w:val="0"/>
      <w:marTop w:val="0"/>
      <w:marBottom w:val="0"/>
      <w:divBdr>
        <w:top w:val="none" w:sz="0" w:space="0" w:color="auto"/>
        <w:left w:val="none" w:sz="0" w:space="0" w:color="auto"/>
        <w:bottom w:val="none" w:sz="0" w:space="0" w:color="auto"/>
        <w:right w:val="none" w:sz="0" w:space="0" w:color="auto"/>
      </w:divBdr>
    </w:div>
    <w:div w:id="544099465">
      <w:bodyDiv w:val="1"/>
      <w:marLeft w:val="0"/>
      <w:marRight w:val="0"/>
      <w:marTop w:val="0"/>
      <w:marBottom w:val="0"/>
      <w:divBdr>
        <w:top w:val="none" w:sz="0" w:space="0" w:color="auto"/>
        <w:left w:val="none" w:sz="0" w:space="0" w:color="auto"/>
        <w:bottom w:val="none" w:sz="0" w:space="0" w:color="auto"/>
        <w:right w:val="none" w:sz="0" w:space="0" w:color="auto"/>
      </w:divBdr>
    </w:div>
    <w:div w:id="559442148">
      <w:bodyDiv w:val="1"/>
      <w:marLeft w:val="0"/>
      <w:marRight w:val="0"/>
      <w:marTop w:val="0"/>
      <w:marBottom w:val="0"/>
      <w:divBdr>
        <w:top w:val="none" w:sz="0" w:space="0" w:color="auto"/>
        <w:left w:val="none" w:sz="0" w:space="0" w:color="auto"/>
        <w:bottom w:val="none" w:sz="0" w:space="0" w:color="auto"/>
        <w:right w:val="none" w:sz="0" w:space="0" w:color="auto"/>
      </w:divBdr>
    </w:div>
    <w:div w:id="563417845">
      <w:bodyDiv w:val="1"/>
      <w:marLeft w:val="0"/>
      <w:marRight w:val="0"/>
      <w:marTop w:val="0"/>
      <w:marBottom w:val="0"/>
      <w:divBdr>
        <w:top w:val="none" w:sz="0" w:space="0" w:color="auto"/>
        <w:left w:val="none" w:sz="0" w:space="0" w:color="auto"/>
        <w:bottom w:val="none" w:sz="0" w:space="0" w:color="auto"/>
        <w:right w:val="none" w:sz="0" w:space="0" w:color="auto"/>
      </w:divBdr>
    </w:div>
    <w:div w:id="581987717">
      <w:bodyDiv w:val="1"/>
      <w:marLeft w:val="0"/>
      <w:marRight w:val="0"/>
      <w:marTop w:val="0"/>
      <w:marBottom w:val="0"/>
      <w:divBdr>
        <w:top w:val="none" w:sz="0" w:space="0" w:color="auto"/>
        <w:left w:val="none" w:sz="0" w:space="0" w:color="auto"/>
        <w:bottom w:val="none" w:sz="0" w:space="0" w:color="auto"/>
        <w:right w:val="none" w:sz="0" w:space="0" w:color="auto"/>
      </w:divBdr>
    </w:div>
    <w:div w:id="592056758">
      <w:bodyDiv w:val="1"/>
      <w:marLeft w:val="0"/>
      <w:marRight w:val="0"/>
      <w:marTop w:val="0"/>
      <w:marBottom w:val="0"/>
      <w:divBdr>
        <w:top w:val="none" w:sz="0" w:space="0" w:color="auto"/>
        <w:left w:val="none" w:sz="0" w:space="0" w:color="auto"/>
        <w:bottom w:val="none" w:sz="0" w:space="0" w:color="auto"/>
        <w:right w:val="none" w:sz="0" w:space="0" w:color="auto"/>
      </w:divBdr>
    </w:div>
    <w:div w:id="629046152">
      <w:bodyDiv w:val="1"/>
      <w:marLeft w:val="0"/>
      <w:marRight w:val="0"/>
      <w:marTop w:val="0"/>
      <w:marBottom w:val="0"/>
      <w:divBdr>
        <w:top w:val="none" w:sz="0" w:space="0" w:color="auto"/>
        <w:left w:val="none" w:sz="0" w:space="0" w:color="auto"/>
        <w:bottom w:val="none" w:sz="0" w:space="0" w:color="auto"/>
        <w:right w:val="none" w:sz="0" w:space="0" w:color="auto"/>
      </w:divBdr>
    </w:div>
    <w:div w:id="665204539">
      <w:bodyDiv w:val="1"/>
      <w:marLeft w:val="0"/>
      <w:marRight w:val="0"/>
      <w:marTop w:val="0"/>
      <w:marBottom w:val="0"/>
      <w:divBdr>
        <w:top w:val="none" w:sz="0" w:space="0" w:color="auto"/>
        <w:left w:val="none" w:sz="0" w:space="0" w:color="auto"/>
        <w:bottom w:val="none" w:sz="0" w:space="0" w:color="auto"/>
        <w:right w:val="none" w:sz="0" w:space="0" w:color="auto"/>
      </w:divBdr>
    </w:div>
    <w:div w:id="666135613">
      <w:bodyDiv w:val="1"/>
      <w:marLeft w:val="0"/>
      <w:marRight w:val="0"/>
      <w:marTop w:val="0"/>
      <w:marBottom w:val="0"/>
      <w:divBdr>
        <w:top w:val="none" w:sz="0" w:space="0" w:color="auto"/>
        <w:left w:val="none" w:sz="0" w:space="0" w:color="auto"/>
        <w:bottom w:val="none" w:sz="0" w:space="0" w:color="auto"/>
        <w:right w:val="none" w:sz="0" w:space="0" w:color="auto"/>
      </w:divBdr>
    </w:div>
    <w:div w:id="700399852">
      <w:bodyDiv w:val="1"/>
      <w:marLeft w:val="0"/>
      <w:marRight w:val="0"/>
      <w:marTop w:val="0"/>
      <w:marBottom w:val="0"/>
      <w:divBdr>
        <w:top w:val="none" w:sz="0" w:space="0" w:color="auto"/>
        <w:left w:val="none" w:sz="0" w:space="0" w:color="auto"/>
        <w:bottom w:val="none" w:sz="0" w:space="0" w:color="auto"/>
        <w:right w:val="none" w:sz="0" w:space="0" w:color="auto"/>
      </w:divBdr>
      <w:divsChild>
        <w:div w:id="1413115631">
          <w:marLeft w:val="0"/>
          <w:marRight w:val="0"/>
          <w:marTop w:val="0"/>
          <w:marBottom w:val="0"/>
          <w:divBdr>
            <w:top w:val="none" w:sz="0" w:space="0" w:color="auto"/>
            <w:left w:val="none" w:sz="0" w:space="0" w:color="auto"/>
            <w:bottom w:val="none" w:sz="0" w:space="0" w:color="auto"/>
            <w:right w:val="none" w:sz="0" w:space="0" w:color="auto"/>
          </w:divBdr>
          <w:divsChild>
            <w:div w:id="1595627208">
              <w:marLeft w:val="0"/>
              <w:marRight w:val="0"/>
              <w:marTop w:val="0"/>
              <w:marBottom w:val="0"/>
              <w:divBdr>
                <w:top w:val="none" w:sz="0" w:space="0" w:color="auto"/>
                <w:left w:val="none" w:sz="0" w:space="0" w:color="auto"/>
                <w:bottom w:val="none" w:sz="0" w:space="0" w:color="auto"/>
                <w:right w:val="none" w:sz="0" w:space="0" w:color="auto"/>
              </w:divBdr>
            </w:div>
          </w:divsChild>
        </w:div>
        <w:div w:id="267393314">
          <w:marLeft w:val="0"/>
          <w:marRight w:val="0"/>
          <w:marTop w:val="0"/>
          <w:marBottom w:val="0"/>
          <w:divBdr>
            <w:top w:val="none" w:sz="0" w:space="0" w:color="auto"/>
            <w:left w:val="none" w:sz="0" w:space="0" w:color="auto"/>
            <w:bottom w:val="none" w:sz="0" w:space="0" w:color="auto"/>
            <w:right w:val="none" w:sz="0" w:space="0" w:color="auto"/>
          </w:divBdr>
          <w:divsChild>
            <w:div w:id="1923639263">
              <w:marLeft w:val="0"/>
              <w:marRight w:val="0"/>
              <w:marTop w:val="0"/>
              <w:marBottom w:val="0"/>
              <w:divBdr>
                <w:top w:val="none" w:sz="0" w:space="0" w:color="auto"/>
                <w:left w:val="none" w:sz="0" w:space="0" w:color="auto"/>
                <w:bottom w:val="none" w:sz="0" w:space="0" w:color="auto"/>
                <w:right w:val="none" w:sz="0" w:space="0" w:color="auto"/>
              </w:divBdr>
              <w:divsChild>
                <w:div w:id="470565398">
                  <w:marLeft w:val="0"/>
                  <w:marRight w:val="0"/>
                  <w:marTop w:val="0"/>
                  <w:marBottom w:val="0"/>
                  <w:divBdr>
                    <w:top w:val="none" w:sz="0" w:space="0" w:color="auto"/>
                    <w:left w:val="none" w:sz="0" w:space="0" w:color="auto"/>
                    <w:bottom w:val="none" w:sz="0" w:space="0" w:color="auto"/>
                    <w:right w:val="none" w:sz="0" w:space="0" w:color="auto"/>
                  </w:divBdr>
                  <w:divsChild>
                    <w:div w:id="651786656">
                      <w:marLeft w:val="0"/>
                      <w:marRight w:val="0"/>
                      <w:marTop w:val="0"/>
                      <w:marBottom w:val="0"/>
                      <w:divBdr>
                        <w:top w:val="none" w:sz="0" w:space="0" w:color="auto"/>
                        <w:left w:val="none" w:sz="0" w:space="0" w:color="auto"/>
                        <w:bottom w:val="none" w:sz="0" w:space="0" w:color="auto"/>
                        <w:right w:val="none" w:sz="0" w:space="0" w:color="auto"/>
                      </w:divBdr>
                      <w:divsChild>
                        <w:div w:id="982734228">
                          <w:marLeft w:val="0"/>
                          <w:marRight w:val="0"/>
                          <w:marTop w:val="0"/>
                          <w:marBottom w:val="0"/>
                          <w:divBdr>
                            <w:top w:val="none" w:sz="0" w:space="0" w:color="auto"/>
                            <w:left w:val="none" w:sz="0" w:space="0" w:color="auto"/>
                            <w:bottom w:val="none" w:sz="0" w:space="0" w:color="auto"/>
                            <w:right w:val="none" w:sz="0" w:space="0" w:color="auto"/>
                          </w:divBdr>
                          <w:divsChild>
                            <w:div w:id="1233466590">
                              <w:marLeft w:val="0"/>
                              <w:marRight w:val="0"/>
                              <w:marTop w:val="0"/>
                              <w:marBottom w:val="0"/>
                              <w:divBdr>
                                <w:top w:val="none" w:sz="0" w:space="0" w:color="auto"/>
                                <w:left w:val="none" w:sz="0" w:space="0" w:color="auto"/>
                                <w:bottom w:val="none" w:sz="0" w:space="0" w:color="auto"/>
                                <w:right w:val="none" w:sz="0" w:space="0" w:color="auto"/>
                              </w:divBdr>
                              <w:divsChild>
                                <w:div w:id="453524840">
                                  <w:marLeft w:val="0"/>
                                  <w:marRight w:val="0"/>
                                  <w:marTop w:val="0"/>
                                  <w:marBottom w:val="0"/>
                                  <w:divBdr>
                                    <w:top w:val="none" w:sz="0" w:space="0" w:color="auto"/>
                                    <w:left w:val="none" w:sz="0" w:space="0" w:color="auto"/>
                                    <w:bottom w:val="none" w:sz="0" w:space="0" w:color="auto"/>
                                    <w:right w:val="none" w:sz="0" w:space="0" w:color="auto"/>
                                  </w:divBdr>
                                  <w:divsChild>
                                    <w:div w:id="811364951">
                                      <w:marLeft w:val="0"/>
                                      <w:marRight w:val="0"/>
                                      <w:marTop w:val="0"/>
                                      <w:marBottom w:val="0"/>
                                      <w:divBdr>
                                        <w:top w:val="none" w:sz="0" w:space="0" w:color="auto"/>
                                        <w:left w:val="none" w:sz="0" w:space="0" w:color="auto"/>
                                        <w:bottom w:val="none" w:sz="0" w:space="0" w:color="auto"/>
                                        <w:right w:val="none" w:sz="0" w:space="0" w:color="auto"/>
                                      </w:divBdr>
                                      <w:divsChild>
                                        <w:div w:id="2018145800">
                                          <w:marLeft w:val="0"/>
                                          <w:marRight w:val="0"/>
                                          <w:marTop w:val="0"/>
                                          <w:marBottom w:val="0"/>
                                          <w:divBdr>
                                            <w:top w:val="none" w:sz="0" w:space="0" w:color="auto"/>
                                            <w:left w:val="none" w:sz="0" w:space="0" w:color="auto"/>
                                            <w:bottom w:val="none" w:sz="0" w:space="0" w:color="auto"/>
                                            <w:right w:val="none" w:sz="0" w:space="0" w:color="auto"/>
                                          </w:divBdr>
                                          <w:divsChild>
                                            <w:div w:id="316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227471">
      <w:bodyDiv w:val="1"/>
      <w:marLeft w:val="0"/>
      <w:marRight w:val="0"/>
      <w:marTop w:val="0"/>
      <w:marBottom w:val="0"/>
      <w:divBdr>
        <w:top w:val="none" w:sz="0" w:space="0" w:color="auto"/>
        <w:left w:val="none" w:sz="0" w:space="0" w:color="auto"/>
        <w:bottom w:val="none" w:sz="0" w:space="0" w:color="auto"/>
        <w:right w:val="none" w:sz="0" w:space="0" w:color="auto"/>
      </w:divBdr>
    </w:div>
    <w:div w:id="765468210">
      <w:bodyDiv w:val="1"/>
      <w:marLeft w:val="0"/>
      <w:marRight w:val="0"/>
      <w:marTop w:val="0"/>
      <w:marBottom w:val="0"/>
      <w:divBdr>
        <w:top w:val="none" w:sz="0" w:space="0" w:color="auto"/>
        <w:left w:val="none" w:sz="0" w:space="0" w:color="auto"/>
        <w:bottom w:val="none" w:sz="0" w:space="0" w:color="auto"/>
        <w:right w:val="none" w:sz="0" w:space="0" w:color="auto"/>
      </w:divBdr>
    </w:div>
    <w:div w:id="809514104">
      <w:bodyDiv w:val="1"/>
      <w:marLeft w:val="0"/>
      <w:marRight w:val="0"/>
      <w:marTop w:val="0"/>
      <w:marBottom w:val="0"/>
      <w:divBdr>
        <w:top w:val="none" w:sz="0" w:space="0" w:color="auto"/>
        <w:left w:val="none" w:sz="0" w:space="0" w:color="auto"/>
        <w:bottom w:val="none" w:sz="0" w:space="0" w:color="auto"/>
        <w:right w:val="none" w:sz="0" w:space="0" w:color="auto"/>
      </w:divBdr>
    </w:div>
    <w:div w:id="909314634">
      <w:bodyDiv w:val="1"/>
      <w:marLeft w:val="0"/>
      <w:marRight w:val="0"/>
      <w:marTop w:val="0"/>
      <w:marBottom w:val="0"/>
      <w:divBdr>
        <w:top w:val="none" w:sz="0" w:space="0" w:color="auto"/>
        <w:left w:val="none" w:sz="0" w:space="0" w:color="auto"/>
        <w:bottom w:val="none" w:sz="0" w:space="0" w:color="auto"/>
        <w:right w:val="none" w:sz="0" w:space="0" w:color="auto"/>
      </w:divBdr>
    </w:div>
    <w:div w:id="910389094">
      <w:bodyDiv w:val="1"/>
      <w:marLeft w:val="0"/>
      <w:marRight w:val="0"/>
      <w:marTop w:val="0"/>
      <w:marBottom w:val="0"/>
      <w:divBdr>
        <w:top w:val="none" w:sz="0" w:space="0" w:color="auto"/>
        <w:left w:val="none" w:sz="0" w:space="0" w:color="auto"/>
        <w:bottom w:val="none" w:sz="0" w:space="0" w:color="auto"/>
        <w:right w:val="none" w:sz="0" w:space="0" w:color="auto"/>
      </w:divBdr>
    </w:div>
    <w:div w:id="1002202671">
      <w:bodyDiv w:val="1"/>
      <w:marLeft w:val="0"/>
      <w:marRight w:val="0"/>
      <w:marTop w:val="0"/>
      <w:marBottom w:val="0"/>
      <w:divBdr>
        <w:top w:val="none" w:sz="0" w:space="0" w:color="auto"/>
        <w:left w:val="none" w:sz="0" w:space="0" w:color="auto"/>
        <w:bottom w:val="none" w:sz="0" w:space="0" w:color="auto"/>
        <w:right w:val="none" w:sz="0" w:space="0" w:color="auto"/>
      </w:divBdr>
    </w:div>
    <w:div w:id="1002732380">
      <w:bodyDiv w:val="1"/>
      <w:marLeft w:val="0"/>
      <w:marRight w:val="0"/>
      <w:marTop w:val="0"/>
      <w:marBottom w:val="0"/>
      <w:divBdr>
        <w:top w:val="none" w:sz="0" w:space="0" w:color="auto"/>
        <w:left w:val="none" w:sz="0" w:space="0" w:color="auto"/>
        <w:bottom w:val="none" w:sz="0" w:space="0" w:color="auto"/>
        <w:right w:val="none" w:sz="0" w:space="0" w:color="auto"/>
      </w:divBdr>
    </w:div>
    <w:div w:id="1133330385">
      <w:bodyDiv w:val="1"/>
      <w:marLeft w:val="0"/>
      <w:marRight w:val="0"/>
      <w:marTop w:val="0"/>
      <w:marBottom w:val="0"/>
      <w:divBdr>
        <w:top w:val="none" w:sz="0" w:space="0" w:color="auto"/>
        <w:left w:val="none" w:sz="0" w:space="0" w:color="auto"/>
        <w:bottom w:val="none" w:sz="0" w:space="0" w:color="auto"/>
        <w:right w:val="none" w:sz="0" w:space="0" w:color="auto"/>
      </w:divBdr>
      <w:divsChild>
        <w:div w:id="2117016125">
          <w:marLeft w:val="0"/>
          <w:marRight w:val="0"/>
          <w:marTop w:val="0"/>
          <w:marBottom w:val="0"/>
          <w:divBdr>
            <w:top w:val="none" w:sz="0" w:space="0" w:color="auto"/>
            <w:left w:val="none" w:sz="0" w:space="0" w:color="auto"/>
            <w:bottom w:val="none" w:sz="0" w:space="0" w:color="auto"/>
            <w:right w:val="none" w:sz="0" w:space="0" w:color="auto"/>
          </w:divBdr>
          <w:divsChild>
            <w:div w:id="1604218634">
              <w:marLeft w:val="0"/>
              <w:marRight w:val="0"/>
              <w:marTop w:val="0"/>
              <w:marBottom w:val="0"/>
              <w:divBdr>
                <w:top w:val="none" w:sz="0" w:space="0" w:color="auto"/>
                <w:left w:val="none" w:sz="0" w:space="0" w:color="auto"/>
                <w:bottom w:val="none" w:sz="0" w:space="0" w:color="auto"/>
                <w:right w:val="none" w:sz="0" w:space="0" w:color="auto"/>
              </w:divBdr>
            </w:div>
          </w:divsChild>
        </w:div>
        <w:div w:id="706026716">
          <w:marLeft w:val="0"/>
          <w:marRight w:val="0"/>
          <w:marTop w:val="0"/>
          <w:marBottom w:val="0"/>
          <w:divBdr>
            <w:top w:val="none" w:sz="0" w:space="0" w:color="auto"/>
            <w:left w:val="none" w:sz="0" w:space="0" w:color="auto"/>
            <w:bottom w:val="none" w:sz="0" w:space="0" w:color="auto"/>
            <w:right w:val="none" w:sz="0" w:space="0" w:color="auto"/>
          </w:divBdr>
          <w:divsChild>
            <w:div w:id="77291264">
              <w:marLeft w:val="0"/>
              <w:marRight w:val="0"/>
              <w:marTop w:val="0"/>
              <w:marBottom w:val="0"/>
              <w:divBdr>
                <w:top w:val="none" w:sz="0" w:space="0" w:color="auto"/>
                <w:left w:val="none" w:sz="0" w:space="0" w:color="auto"/>
                <w:bottom w:val="none" w:sz="0" w:space="0" w:color="auto"/>
                <w:right w:val="none" w:sz="0" w:space="0" w:color="auto"/>
              </w:divBdr>
              <w:divsChild>
                <w:div w:id="1649633241">
                  <w:marLeft w:val="0"/>
                  <w:marRight w:val="0"/>
                  <w:marTop w:val="0"/>
                  <w:marBottom w:val="0"/>
                  <w:divBdr>
                    <w:top w:val="none" w:sz="0" w:space="0" w:color="auto"/>
                    <w:left w:val="none" w:sz="0" w:space="0" w:color="auto"/>
                    <w:bottom w:val="none" w:sz="0" w:space="0" w:color="auto"/>
                    <w:right w:val="none" w:sz="0" w:space="0" w:color="auto"/>
                  </w:divBdr>
                  <w:divsChild>
                    <w:div w:id="230430120">
                      <w:marLeft w:val="0"/>
                      <w:marRight w:val="0"/>
                      <w:marTop w:val="0"/>
                      <w:marBottom w:val="0"/>
                      <w:divBdr>
                        <w:top w:val="none" w:sz="0" w:space="0" w:color="auto"/>
                        <w:left w:val="none" w:sz="0" w:space="0" w:color="auto"/>
                        <w:bottom w:val="none" w:sz="0" w:space="0" w:color="auto"/>
                        <w:right w:val="none" w:sz="0" w:space="0" w:color="auto"/>
                      </w:divBdr>
                      <w:divsChild>
                        <w:div w:id="236476556">
                          <w:marLeft w:val="0"/>
                          <w:marRight w:val="0"/>
                          <w:marTop w:val="0"/>
                          <w:marBottom w:val="0"/>
                          <w:divBdr>
                            <w:top w:val="none" w:sz="0" w:space="0" w:color="auto"/>
                            <w:left w:val="none" w:sz="0" w:space="0" w:color="auto"/>
                            <w:bottom w:val="none" w:sz="0" w:space="0" w:color="auto"/>
                            <w:right w:val="none" w:sz="0" w:space="0" w:color="auto"/>
                          </w:divBdr>
                          <w:divsChild>
                            <w:div w:id="305084333">
                              <w:marLeft w:val="0"/>
                              <w:marRight w:val="0"/>
                              <w:marTop w:val="0"/>
                              <w:marBottom w:val="0"/>
                              <w:divBdr>
                                <w:top w:val="none" w:sz="0" w:space="0" w:color="auto"/>
                                <w:left w:val="none" w:sz="0" w:space="0" w:color="auto"/>
                                <w:bottom w:val="none" w:sz="0" w:space="0" w:color="auto"/>
                                <w:right w:val="none" w:sz="0" w:space="0" w:color="auto"/>
                              </w:divBdr>
                              <w:divsChild>
                                <w:div w:id="302733852">
                                  <w:marLeft w:val="0"/>
                                  <w:marRight w:val="0"/>
                                  <w:marTop w:val="0"/>
                                  <w:marBottom w:val="0"/>
                                  <w:divBdr>
                                    <w:top w:val="none" w:sz="0" w:space="0" w:color="auto"/>
                                    <w:left w:val="none" w:sz="0" w:space="0" w:color="auto"/>
                                    <w:bottom w:val="none" w:sz="0" w:space="0" w:color="auto"/>
                                    <w:right w:val="none" w:sz="0" w:space="0" w:color="auto"/>
                                  </w:divBdr>
                                  <w:divsChild>
                                    <w:div w:id="156843833">
                                      <w:marLeft w:val="0"/>
                                      <w:marRight w:val="0"/>
                                      <w:marTop w:val="0"/>
                                      <w:marBottom w:val="0"/>
                                      <w:divBdr>
                                        <w:top w:val="none" w:sz="0" w:space="0" w:color="auto"/>
                                        <w:left w:val="none" w:sz="0" w:space="0" w:color="auto"/>
                                        <w:bottom w:val="none" w:sz="0" w:space="0" w:color="auto"/>
                                        <w:right w:val="none" w:sz="0" w:space="0" w:color="auto"/>
                                      </w:divBdr>
                                      <w:divsChild>
                                        <w:div w:id="761150749">
                                          <w:marLeft w:val="0"/>
                                          <w:marRight w:val="0"/>
                                          <w:marTop w:val="0"/>
                                          <w:marBottom w:val="0"/>
                                          <w:divBdr>
                                            <w:top w:val="none" w:sz="0" w:space="0" w:color="auto"/>
                                            <w:left w:val="none" w:sz="0" w:space="0" w:color="auto"/>
                                            <w:bottom w:val="none" w:sz="0" w:space="0" w:color="auto"/>
                                            <w:right w:val="none" w:sz="0" w:space="0" w:color="auto"/>
                                          </w:divBdr>
                                          <w:divsChild>
                                            <w:div w:id="7833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5036311">
      <w:bodyDiv w:val="1"/>
      <w:marLeft w:val="0"/>
      <w:marRight w:val="0"/>
      <w:marTop w:val="0"/>
      <w:marBottom w:val="0"/>
      <w:divBdr>
        <w:top w:val="none" w:sz="0" w:space="0" w:color="auto"/>
        <w:left w:val="none" w:sz="0" w:space="0" w:color="auto"/>
        <w:bottom w:val="none" w:sz="0" w:space="0" w:color="auto"/>
        <w:right w:val="none" w:sz="0" w:space="0" w:color="auto"/>
      </w:divBdr>
    </w:div>
    <w:div w:id="1531142418">
      <w:bodyDiv w:val="1"/>
      <w:marLeft w:val="0"/>
      <w:marRight w:val="0"/>
      <w:marTop w:val="0"/>
      <w:marBottom w:val="0"/>
      <w:divBdr>
        <w:top w:val="none" w:sz="0" w:space="0" w:color="auto"/>
        <w:left w:val="none" w:sz="0" w:space="0" w:color="auto"/>
        <w:bottom w:val="none" w:sz="0" w:space="0" w:color="auto"/>
        <w:right w:val="none" w:sz="0" w:space="0" w:color="auto"/>
      </w:divBdr>
    </w:div>
    <w:div w:id="1563978916">
      <w:bodyDiv w:val="1"/>
      <w:marLeft w:val="0"/>
      <w:marRight w:val="0"/>
      <w:marTop w:val="0"/>
      <w:marBottom w:val="0"/>
      <w:divBdr>
        <w:top w:val="none" w:sz="0" w:space="0" w:color="auto"/>
        <w:left w:val="none" w:sz="0" w:space="0" w:color="auto"/>
        <w:bottom w:val="none" w:sz="0" w:space="0" w:color="auto"/>
        <w:right w:val="none" w:sz="0" w:space="0" w:color="auto"/>
      </w:divBdr>
    </w:div>
    <w:div w:id="1659965551">
      <w:bodyDiv w:val="1"/>
      <w:marLeft w:val="0"/>
      <w:marRight w:val="0"/>
      <w:marTop w:val="0"/>
      <w:marBottom w:val="0"/>
      <w:divBdr>
        <w:top w:val="none" w:sz="0" w:space="0" w:color="auto"/>
        <w:left w:val="none" w:sz="0" w:space="0" w:color="auto"/>
        <w:bottom w:val="none" w:sz="0" w:space="0" w:color="auto"/>
        <w:right w:val="none" w:sz="0" w:space="0" w:color="auto"/>
      </w:divBdr>
    </w:div>
    <w:div w:id="1662080030">
      <w:bodyDiv w:val="1"/>
      <w:marLeft w:val="0"/>
      <w:marRight w:val="0"/>
      <w:marTop w:val="0"/>
      <w:marBottom w:val="0"/>
      <w:divBdr>
        <w:top w:val="none" w:sz="0" w:space="0" w:color="auto"/>
        <w:left w:val="none" w:sz="0" w:space="0" w:color="auto"/>
        <w:bottom w:val="none" w:sz="0" w:space="0" w:color="auto"/>
        <w:right w:val="none" w:sz="0" w:space="0" w:color="auto"/>
      </w:divBdr>
    </w:div>
    <w:div w:id="1694720900">
      <w:bodyDiv w:val="1"/>
      <w:marLeft w:val="0"/>
      <w:marRight w:val="0"/>
      <w:marTop w:val="0"/>
      <w:marBottom w:val="0"/>
      <w:divBdr>
        <w:top w:val="none" w:sz="0" w:space="0" w:color="auto"/>
        <w:left w:val="none" w:sz="0" w:space="0" w:color="auto"/>
        <w:bottom w:val="none" w:sz="0" w:space="0" w:color="auto"/>
        <w:right w:val="none" w:sz="0" w:space="0" w:color="auto"/>
      </w:divBdr>
    </w:div>
    <w:div w:id="1747529447">
      <w:bodyDiv w:val="1"/>
      <w:marLeft w:val="0"/>
      <w:marRight w:val="0"/>
      <w:marTop w:val="0"/>
      <w:marBottom w:val="0"/>
      <w:divBdr>
        <w:top w:val="none" w:sz="0" w:space="0" w:color="auto"/>
        <w:left w:val="none" w:sz="0" w:space="0" w:color="auto"/>
        <w:bottom w:val="none" w:sz="0" w:space="0" w:color="auto"/>
        <w:right w:val="none" w:sz="0" w:space="0" w:color="auto"/>
      </w:divBdr>
    </w:div>
    <w:div w:id="1752970854">
      <w:bodyDiv w:val="1"/>
      <w:marLeft w:val="0"/>
      <w:marRight w:val="0"/>
      <w:marTop w:val="0"/>
      <w:marBottom w:val="0"/>
      <w:divBdr>
        <w:top w:val="none" w:sz="0" w:space="0" w:color="auto"/>
        <w:left w:val="none" w:sz="0" w:space="0" w:color="auto"/>
        <w:bottom w:val="none" w:sz="0" w:space="0" w:color="auto"/>
        <w:right w:val="none" w:sz="0" w:space="0" w:color="auto"/>
      </w:divBdr>
    </w:div>
    <w:div w:id="1761025945">
      <w:bodyDiv w:val="1"/>
      <w:marLeft w:val="0"/>
      <w:marRight w:val="0"/>
      <w:marTop w:val="0"/>
      <w:marBottom w:val="0"/>
      <w:divBdr>
        <w:top w:val="none" w:sz="0" w:space="0" w:color="auto"/>
        <w:left w:val="none" w:sz="0" w:space="0" w:color="auto"/>
        <w:bottom w:val="none" w:sz="0" w:space="0" w:color="auto"/>
        <w:right w:val="none" w:sz="0" w:space="0" w:color="auto"/>
      </w:divBdr>
    </w:div>
    <w:div w:id="1767730888">
      <w:bodyDiv w:val="1"/>
      <w:marLeft w:val="0"/>
      <w:marRight w:val="0"/>
      <w:marTop w:val="0"/>
      <w:marBottom w:val="0"/>
      <w:divBdr>
        <w:top w:val="none" w:sz="0" w:space="0" w:color="auto"/>
        <w:left w:val="none" w:sz="0" w:space="0" w:color="auto"/>
        <w:bottom w:val="none" w:sz="0" w:space="0" w:color="auto"/>
        <w:right w:val="none" w:sz="0" w:space="0" w:color="auto"/>
      </w:divBdr>
    </w:div>
    <w:div w:id="1850178334">
      <w:bodyDiv w:val="1"/>
      <w:marLeft w:val="0"/>
      <w:marRight w:val="0"/>
      <w:marTop w:val="0"/>
      <w:marBottom w:val="0"/>
      <w:divBdr>
        <w:top w:val="none" w:sz="0" w:space="0" w:color="auto"/>
        <w:left w:val="none" w:sz="0" w:space="0" w:color="auto"/>
        <w:bottom w:val="none" w:sz="0" w:space="0" w:color="auto"/>
        <w:right w:val="none" w:sz="0" w:space="0" w:color="auto"/>
      </w:divBdr>
    </w:div>
    <w:div w:id="1872381251">
      <w:bodyDiv w:val="1"/>
      <w:marLeft w:val="0"/>
      <w:marRight w:val="0"/>
      <w:marTop w:val="0"/>
      <w:marBottom w:val="0"/>
      <w:divBdr>
        <w:top w:val="none" w:sz="0" w:space="0" w:color="auto"/>
        <w:left w:val="none" w:sz="0" w:space="0" w:color="auto"/>
        <w:bottom w:val="none" w:sz="0" w:space="0" w:color="auto"/>
        <w:right w:val="none" w:sz="0" w:space="0" w:color="auto"/>
      </w:divBdr>
    </w:div>
    <w:div w:id="1879195469">
      <w:bodyDiv w:val="1"/>
      <w:marLeft w:val="0"/>
      <w:marRight w:val="0"/>
      <w:marTop w:val="0"/>
      <w:marBottom w:val="0"/>
      <w:divBdr>
        <w:top w:val="none" w:sz="0" w:space="0" w:color="auto"/>
        <w:left w:val="none" w:sz="0" w:space="0" w:color="auto"/>
        <w:bottom w:val="none" w:sz="0" w:space="0" w:color="auto"/>
        <w:right w:val="none" w:sz="0" w:space="0" w:color="auto"/>
      </w:divBdr>
    </w:div>
    <w:div w:id="1930112779">
      <w:bodyDiv w:val="1"/>
      <w:marLeft w:val="0"/>
      <w:marRight w:val="0"/>
      <w:marTop w:val="0"/>
      <w:marBottom w:val="0"/>
      <w:divBdr>
        <w:top w:val="none" w:sz="0" w:space="0" w:color="auto"/>
        <w:left w:val="none" w:sz="0" w:space="0" w:color="auto"/>
        <w:bottom w:val="none" w:sz="0" w:space="0" w:color="auto"/>
        <w:right w:val="none" w:sz="0" w:space="0" w:color="auto"/>
      </w:divBdr>
    </w:div>
    <w:div w:id="1996955876">
      <w:bodyDiv w:val="1"/>
      <w:marLeft w:val="0"/>
      <w:marRight w:val="0"/>
      <w:marTop w:val="0"/>
      <w:marBottom w:val="0"/>
      <w:divBdr>
        <w:top w:val="none" w:sz="0" w:space="0" w:color="auto"/>
        <w:left w:val="none" w:sz="0" w:space="0" w:color="auto"/>
        <w:bottom w:val="none" w:sz="0" w:space="0" w:color="auto"/>
        <w:right w:val="none" w:sz="0" w:space="0" w:color="auto"/>
      </w:divBdr>
    </w:div>
    <w:div w:id="2059667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5bF0aHY+lGMPVdWZEEYPcbPvQ==">CgMxLjAyCGguZ2pkZ3hzOAByITEwaTVCd2czRGEtbFlVdW5qSzlkVXJuUlpTYXlQV0dieg==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3BC2A8-C748-3F46-9737-80EC01E3E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14</Pages>
  <Words>3981</Words>
  <Characters>22692</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Albanesi</dc:creator>
  <cp:lastModifiedBy>Emanuela Prati</cp:lastModifiedBy>
  <cp:revision>11</cp:revision>
  <cp:lastPrinted>2025-10-29T15:21:00Z</cp:lastPrinted>
  <dcterms:created xsi:type="dcterms:W3CDTF">2025-10-30T08:22:00Z</dcterms:created>
  <dcterms:modified xsi:type="dcterms:W3CDTF">2025-11-04T09:03:00Z</dcterms:modified>
</cp:coreProperties>
</file>