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670" w:type="dxa"/>
        <w:tblInd w:w="0"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9670"/>
      </w:tblGrid>
      <w:tr w:rsidR="00792D9F" w14:paraId="7CE3522F" w14:textId="77777777">
        <w:trPr>
          <w:trHeight w:val="567"/>
        </w:trPr>
        <w:tc>
          <w:tcPr>
            <w:tcW w:w="9670" w:type="dxa"/>
            <w:tcBorders>
              <w:top w:val="single" w:sz="4" w:space="0" w:color="366DB3"/>
            </w:tcBorders>
            <w:vAlign w:val="center"/>
          </w:tcPr>
          <w:p w14:paraId="38FC44B7" w14:textId="1D2C8013" w:rsidR="00792D9F" w:rsidRDefault="00EB53B2">
            <w:pPr>
              <w:pBdr>
                <w:top w:val="nil"/>
                <w:left w:val="nil"/>
                <w:bottom w:val="nil"/>
                <w:right w:val="nil"/>
                <w:between w:val="nil"/>
              </w:pBdr>
              <w:spacing w:before="240" w:line="240" w:lineRule="auto"/>
              <w:ind w:left="1" w:hanging="3"/>
              <w:rPr>
                <w:rFonts w:ascii="Arial" w:eastAsia="Arial" w:hAnsi="Arial" w:cs="Arial"/>
                <w:color w:val="366DB3"/>
                <w:sz w:val="32"/>
                <w:szCs w:val="32"/>
              </w:rPr>
            </w:pPr>
            <w:r>
              <w:rPr>
                <w:rFonts w:ascii="Arial" w:eastAsia="Arial" w:hAnsi="Arial" w:cs="Arial"/>
                <w:color w:val="366DB3"/>
                <w:sz w:val="32"/>
                <w:szCs w:val="32"/>
              </w:rPr>
              <w:t xml:space="preserve">Circolare per il </w:t>
            </w:r>
            <w:r w:rsidR="00C11C56">
              <w:rPr>
                <w:rFonts w:ascii="Arial" w:eastAsia="Arial" w:hAnsi="Arial" w:cs="Arial"/>
                <w:color w:val="366DB3"/>
                <w:sz w:val="32"/>
                <w:szCs w:val="32"/>
              </w:rPr>
              <w:t>C</w:t>
            </w:r>
            <w:r>
              <w:rPr>
                <w:rFonts w:ascii="Arial" w:eastAsia="Arial" w:hAnsi="Arial" w:cs="Arial"/>
                <w:color w:val="366DB3"/>
                <w:sz w:val="32"/>
                <w:szCs w:val="32"/>
              </w:rPr>
              <w:t>liente 1</w:t>
            </w:r>
            <w:r w:rsidR="00C11C56">
              <w:rPr>
                <w:rFonts w:ascii="Arial" w:eastAsia="Arial" w:hAnsi="Arial" w:cs="Arial"/>
                <w:color w:val="366DB3"/>
                <w:sz w:val="32"/>
                <w:szCs w:val="32"/>
              </w:rPr>
              <w:t>8</w:t>
            </w:r>
            <w:r>
              <w:rPr>
                <w:rFonts w:ascii="Arial" w:eastAsia="Arial" w:hAnsi="Arial" w:cs="Arial"/>
                <w:color w:val="366DB3"/>
                <w:sz w:val="32"/>
                <w:szCs w:val="32"/>
              </w:rPr>
              <w:t xml:space="preserve"> settembre 202</w:t>
            </w:r>
            <w:r w:rsidR="007255D1">
              <w:rPr>
                <w:rFonts w:ascii="Arial" w:eastAsia="Arial" w:hAnsi="Arial" w:cs="Arial"/>
                <w:color w:val="366DB3"/>
                <w:sz w:val="32"/>
                <w:szCs w:val="32"/>
              </w:rPr>
              <w:t>6</w:t>
            </w:r>
          </w:p>
          <w:p w14:paraId="40E4E93C" w14:textId="77777777" w:rsidR="00792D9F" w:rsidRDefault="00EB53B2">
            <w:pPr>
              <w:pBdr>
                <w:top w:val="nil"/>
                <w:left w:val="nil"/>
                <w:bottom w:val="nil"/>
                <w:right w:val="nil"/>
                <w:between w:val="nil"/>
              </w:pBdr>
              <w:spacing w:before="120" w:line="240" w:lineRule="auto"/>
              <w:ind w:left="0" w:hanging="2"/>
              <w:rPr>
                <w:rFonts w:ascii="Arial" w:eastAsia="Arial" w:hAnsi="Arial" w:cs="Arial"/>
                <w:color w:val="366DB3"/>
                <w:sz w:val="20"/>
                <w:szCs w:val="20"/>
              </w:rPr>
            </w:pPr>
            <w:r>
              <w:rPr>
                <w:rFonts w:ascii="Arial" w:eastAsia="Arial" w:hAnsi="Arial" w:cs="Arial"/>
                <w:color w:val="366DB3"/>
                <w:sz w:val="20"/>
                <w:szCs w:val="20"/>
              </w:rPr>
              <w:t>Versione Completa</w:t>
            </w:r>
          </w:p>
          <w:p w14:paraId="28D48AF3" w14:textId="77777777" w:rsidR="00792D9F" w:rsidRDefault="00792D9F">
            <w:pPr>
              <w:pBdr>
                <w:top w:val="nil"/>
                <w:left w:val="nil"/>
                <w:bottom w:val="nil"/>
                <w:right w:val="nil"/>
                <w:between w:val="nil"/>
              </w:pBdr>
              <w:spacing w:before="240" w:line="240" w:lineRule="auto"/>
              <w:ind w:left="0" w:right="-30" w:hanging="2"/>
              <w:rPr>
                <w:rFonts w:ascii="Arial" w:eastAsia="Arial" w:hAnsi="Arial" w:cs="Arial"/>
                <w:b/>
                <w:color w:val="366DB3"/>
                <w:sz w:val="20"/>
                <w:szCs w:val="20"/>
              </w:rPr>
            </w:pPr>
          </w:p>
        </w:tc>
      </w:tr>
      <w:tr w:rsidR="00792D9F" w14:paraId="13D45441" w14:textId="77777777">
        <w:trPr>
          <w:trHeight w:val="567"/>
        </w:trPr>
        <w:tc>
          <w:tcPr>
            <w:tcW w:w="9670" w:type="dxa"/>
            <w:tcBorders>
              <w:bottom w:val="single" w:sz="4" w:space="0" w:color="366DB3"/>
            </w:tcBorders>
            <w:vAlign w:val="center"/>
          </w:tcPr>
          <w:p w14:paraId="77FBD982" w14:textId="77777777" w:rsidR="00792D9F" w:rsidRPr="00C11C56" w:rsidRDefault="00EB53B2">
            <w:pPr>
              <w:pBdr>
                <w:top w:val="nil"/>
                <w:left w:val="nil"/>
                <w:bottom w:val="nil"/>
                <w:right w:val="nil"/>
                <w:between w:val="nil"/>
              </w:pBdr>
              <w:spacing w:line="240" w:lineRule="auto"/>
              <w:ind w:left="0" w:right="-30" w:hanging="2"/>
              <w:rPr>
                <w:rFonts w:ascii="Arial" w:eastAsia="Arial" w:hAnsi="Arial" w:cs="Arial"/>
                <w:b/>
                <w:color w:val="366DB3"/>
                <w:sz w:val="20"/>
                <w:szCs w:val="20"/>
              </w:rPr>
            </w:pPr>
            <w:proofErr w:type="gramStart"/>
            <w:r w:rsidRPr="00C11C56">
              <w:rPr>
                <w:rFonts w:ascii="Arial" w:eastAsia="Arial" w:hAnsi="Arial" w:cs="Arial"/>
                <w:b/>
                <w:color w:val="366DB3"/>
                <w:sz w:val="20"/>
                <w:szCs w:val="20"/>
              </w:rPr>
              <w:t>IN BREVE</w:t>
            </w:r>
            <w:proofErr w:type="gramEnd"/>
          </w:p>
        </w:tc>
      </w:tr>
      <w:tr w:rsidR="00792D9F" w14:paraId="19A1EB93" w14:textId="77777777">
        <w:trPr>
          <w:trHeight w:val="567"/>
        </w:trPr>
        <w:tc>
          <w:tcPr>
            <w:tcW w:w="9670" w:type="dxa"/>
            <w:tcBorders>
              <w:bottom w:val="single" w:sz="4" w:space="0" w:color="366DB3"/>
            </w:tcBorders>
            <w:vAlign w:val="center"/>
          </w:tcPr>
          <w:p w14:paraId="568DD855" w14:textId="2D95F1A7" w:rsidR="00792D9F" w:rsidRPr="00062B15" w:rsidRDefault="00521692" w:rsidP="00C11C56">
            <w:pPr>
              <w:pStyle w:val="Paragrafoelenco"/>
              <w:numPr>
                <w:ilvl w:val="0"/>
                <w:numId w:val="25"/>
              </w:numPr>
              <w:pBdr>
                <w:top w:val="nil"/>
                <w:left w:val="nil"/>
                <w:bottom w:val="nil"/>
                <w:right w:val="nil"/>
                <w:between w:val="nil"/>
              </w:pBdr>
              <w:spacing w:before="120" w:after="120" w:line="360" w:lineRule="auto"/>
              <w:ind w:leftChars="0" w:left="357" w:right="-28" w:firstLineChars="0" w:hanging="357"/>
              <w:jc w:val="both"/>
              <w:rPr>
                <w:rFonts w:ascii="Arial" w:eastAsia="Arial" w:hAnsi="Arial" w:cs="Arial"/>
                <w:b/>
                <w:color w:val="000000" w:themeColor="text1"/>
                <w:sz w:val="20"/>
                <w:szCs w:val="20"/>
              </w:rPr>
            </w:pPr>
            <w:r>
              <w:rPr>
                <w:rFonts w:ascii="Arial" w:eastAsia="Arial" w:hAnsi="Arial" w:cs="Arial"/>
                <w:color w:val="000000" w:themeColor="text1"/>
                <w:sz w:val="20"/>
                <w:szCs w:val="20"/>
              </w:rPr>
              <w:t>I</w:t>
            </w:r>
            <w:r w:rsidR="004B5DEB" w:rsidRPr="00062B15">
              <w:rPr>
                <w:rFonts w:ascii="Arial" w:eastAsia="Arial" w:hAnsi="Arial" w:cs="Arial"/>
                <w:color w:val="000000" w:themeColor="text1"/>
                <w:sz w:val="20"/>
                <w:szCs w:val="20"/>
              </w:rPr>
              <w:t>n vigore dal 1° gennaio 2027</w:t>
            </w:r>
            <w:r>
              <w:rPr>
                <w:rFonts w:ascii="Arial" w:eastAsia="Arial" w:hAnsi="Arial" w:cs="Arial"/>
                <w:color w:val="000000" w:themeColor="text1"/>
                <w:sz w:val="20"/>
                <w:szCs w:val="20"/>
              </w:rPr>
              <w:t xml:space="preserve"> </w:t>
            </w:r>
            <w:r w:rsidRPr="00062B15">
              <w:rPr>
                <w:rFonts w:ascii="Arial" w:eastAsia="Arial" w:hAnsi="Arial" w:cs="Arial"/>
                <w:color w:val="000000" w:themeColor="text1"/>
                <w:sz w:val="20"/>
                <w:szCs w:val="20"/>
              </w:rPr>
              <w:t>il nuovo Testo Unico</w:t>
            </w:r>
            <w:r>
              <w:rPr>
                <w:rFonts w:ascii="Arial" w:eastAsia="Arial" w:hAnsi="Arial" w:cs="Arial"/>
                <w:color w:val="000000" w:themeColor="text1"/>
                <w:sz w:val="20"/>
                <w:szCs w:val="20"/>
              </w:rPr>
              <w:t xml:space="preserve"> IVA</w:t>
            </w:r>
          </w:p>
          <w:p w14:paraId="316D6E52" w14:textId="079794F9" w:rsidR="004B5DEB" w:rsidRPr="00062B15" w:rsidRDefault="00521692"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521692">
              <w:rPr>
                <w:rFonts w:ascii="Arial" w:eastAsia="Arial" w:hAnsi="Arial" w:cs="Arial"/>
                <w:color w:val="000000" w:themeColor="text1"/>
                <w:sz w:val="20"/>
                <w:szCs w:val="20"/>
              </w:rPr>
              <w:t>Le novità per il concordato preventivo previste dal decreto Omnibus</w:t>
            </w:r>
          </w:p>
          <w:p w14:paraId="776F7B8E" w14:textId="00051D62" w:rsidR="00C91C8E" w:rsidRPr="00C11C56" w:rsidRDefault="00C91C8E"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C11C56">
              <w:rPr>
                <w:rFonts w:ascii="Arial" w:eastAsia="Arial" w:hAnsi="Arial" w:cs="Arial"/>
                <w:color w:val="000000" w:themeColor="text1"/>
                <w:sz w:val="20"/>
                <w:szCs w:val="20"/>
              </w:rPr>
              <w:t>Novità IVA: ampliati i termini per la detrazione</w:t>
            </w:r>
          </w:p>
          <w:p w14:paraId="4504479B" w14:textId="7123E929" w:rsidR="00C91C8E" w:rsidRPr="00C11C56" w:rsidRDefault="00C91C8E"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C11C56">
              <w:rPr>
                <w:rFonts w:ascii="Arial" w:eastAsia="Arial" w:hAnsi="Arial" w:cs="Arial"/>
                <w:color w:val="000000" w:themeColor="text1"/>
                <w:sz w:val="20"/>
                <w:szCs w:val="20"/>
              </w:rPr>
              <w:t>Liquidazione automatizzata dell’IVA: procedure per dichiarazioni omesse</w:t>
            </w:r>
          </w:p>
          <w:p w14:paraId="547B2191" w14:textId="585602F3" w:rsidR="00C91C8E" w:rsidRPr="006D68E4" w:rsidRDefault="00C91C8E"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C11C56">
              <w:rPr>
                <w:rFonts w:ascii="Arial" w:eastAsia="Arial" w:hAnsi="Arial" w:cs="Arial"/>
                <w:color w:val="000000" w:themeColor="text1"/>
                <w:sz w:val="20"/>
                <w:szCs w:val="20"/>
              </w:rPr>
              <w:t>Chiarita l’incompatibilità fiscale dal 2027 tra regime I</w:t>
            </w:r>
            <w:r w:rsidRPr="006D68E4">
              <w:rPr>
                <w:rFonts w:ascii="Arial" w:eastAsia="Arial" w:hAnsi="Arial" w:cs="Arial"/>
                <w:color w:val="000000" w:themeColor="text1"/>
                <w:sz w:val="20"/>
                <w:szCs w:val="20"/>
              </w:rPr>
              <w:t>OSS e forfetario</w:t>
            </w:r>
          </w:p>
          <w:p w14:paraId="3DB1660D" w14:textId="333A2139" w:rsidR="00C91C8E" w:rsidRPr="00C11C56" w:rsidRDefault="00C91C8E"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6D68E4">
              <w:rPr>
                <w:rFonts w:ascii="Arial" w:eastAsia="Arial" w:hAnsi="Arial" w:cs="Arial"/>
                <w:color w:val="000000" w:themeColor="text1"/>
                <w:sz w:val="20"/>
                <w:szCs w:val="20"/>
              </w:rPr>
              <w:t>Credito d’imposta per il gasolio agricolo: istruzioni e scadenze per l’acce</w:t>
            </w:r>
            <w:r w:rsidRPr="00C11C56">
              <w:rPr>
                <w:rFonts w:ascii="Arial" w:eastAsia="Arial" w:hAnsi="Arial" w:cs="Arial"/>
                <w:color w:val="000000" w:themeColor="text1"/>
                <w:sz w:val="20"/>
                <w:szCs w:val="20"/>
              </w:rPr>
              <w:t>sso</w:t>
            </w:r>
          </w:p>
          <w:p w14:paraId="1E16EF8B" w14:textId="0363A8FD" w:rsidR="002E5BF5" w:rsidRPr="00C11C56" w:rsidRDefault="002E5BF5"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C11C56">
              <w:rPr>
                <w:rFonts w:ascii="Arial" w:eastAsia="Arial" w:hAnsi="Arial" w:cs="Arial"/>
                <w:color w:val="000000" w:themeColor="text1"/>
                <w:sz w:val="20"/>
                <w:szCs w:val="20"/>
              </w:rPr>
              <w:t>Trasmissione corrispettivi telematici: introdotta la soglia di tolleranza del 5%</w:t>
            </w:r>
          </w:p>
          <w:p w14:paraId="461983CC" w14:textId="2715FF4B" w:rsidR="002E5BF5" w:rsidRPr="00C11C56" w:rsidRDefault="002E5BF5"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992E25">
              <w:rPr>
                <w:rFonts w:ascii="Arial" w:eastAsia="Arial" w:hAnsi="Arial" w:cs="Arial"/>
                <w:color w:val="000000" w:themeColor="text1"/>
                <w:sz w:val="20"/>
                <w:szCs w:val="20"/>
              </w:rPr>
              <w:t>Iper</w:t>
            </w:r>
            <w:r w:rsidR="00C11C56" w:rsidRPr="00992E25">
              <w:rPr>
                <w:rFonts w:ascii="Arial" w:eastAsia="Arial" w:hAnsi="Arial" w:cs="Arial"/>
                <w:color w:val="000000" w:themeColor="text1"/>
                <w:sz w:val="20"/>
                <w:szCs w:val="20"/>
              </w:rPr>
              <w:t xml:space="preserve"> </w:t>
            </w:r>
            <w:r w:rsidRPr="00992E25">
              <w:rPr>
                <w:rFonts w:ascii="Arial" w:eastAsia="Arial" w:hAnsi="Arial" w:cs="Arial"/>
                <w:color w:val="000000" w:themeColor="text1"/>
                <w:sz w:val="20"/>
                <w:szCs w:val="20"/>
              </w:rPr>
              <w:t>ammortamenti: termine pere</w:t>
            </w:r>
            <w:r w:rsidRPr="00C11C56">
              <w:rPr>
                <w:rFonts w:ascii="Arial" w:eastAsia="Arial" w:hAnsi="Arial" w:cs="Arial"/>
                <w:color w:val="000000" w:themeColor="text1"/>
                <w:sz w:val="20"/>
                <w:szCs w:val="20"/>
              </w:rPr>
              <w:t>ntorio di 60 giorni per le comunicazioni di conferma</w:t>
            </w:r>
          </w:p>
          <w:p w14:paraId="2E1B3642" w14:textId="1701F518" w:rsidR="00C75EC6" w:rsidRPr="00C11C56" w:rsidRDefault="00C75EC6"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r w:rsidRPr="00A966B9">
              <w:rPr>
                <w:rFonts w:ascii="Arial" w:eastAsia="Arial" w:hAnsi="Arial" w:cs="Arial"/>
                <w:color w:val="000000" w:themeColor="text1"/>
                <w:sz w:val="20"/>
                <w:szCs w:val="20"/>
              </w:rPr>
              <w:t xml:space="preserve">Detrazioni </w:t>
            </w:r>
            <w:r w:rsidR="00062B15" w:rsidRPr="00A966B9">
              <w:rPr>
                <w:rFonts w:ascii="Arial" w:eastAsia="Arial" w:hAnsi="Arial" w:cs="Arial"/>
                <w:color w:val="000000" w:themeColor="text1"/>
                <w:sz w:val="20"/>
                <w:szCs w:val="20"/>
              </w:rPr>
              <w:t>s</w:t>
            </w:r>
            <w:r w:rsidRPr="00A966B9">
              <w:rPr>
                <w:rFonts w:ascii="Arial" w:eastAsia="Arial" w:hAnsi="Arial" w:cs="Arial"/>
                <w:color w:val="000000" w:themeColor="text1"/>
                <w:sz w:val="20"/>
                <w:szCs w:val="20"/>
              </w:rPr>
              <w:t>tart</w:t>
            </w:r>
            <w:r w:rsidR="00062B15" w:rsidRPr="00A966B9">
              <w:rPr>
                <w:rFonts w:ascii="Arial" w:eastAsia="Arial" w:hAnsi="Arial" w:cs="Arial"/>
                <w:color w:val="000000" w:themeColor="text1"/>
                <w:sz w:val="20"/>
                <w:szCs w:val="20"/>
              </w:rPr>
              <w:t xml:space="preserve"> </w:t>
            </w:r>
            <w:r w:rsidRPr="00A966B9">
              <w:rPr>
                <w:rFonts w:ascii="Arial" w:eastAsia="Arial" w:hAnsi="Arial" w:cs="Arial"/>
                <w:color w:val="000000" w:themeColor="text1"/>
                <w:sz w:val="20"/>
                <w:szCs w:val="20"/>
              </w:rPr>
              <w:t xml:space="preserve">up </w:t>
            </w:r>
            <w:r w:rsidR="00062B15" w:rsidRPr="00A966B9">
              <w:rPr>
                <w:rFonts w:ascii="Arial" w:eastAsia="Arial" w:hAnsi="Arial" w:cs="Arial"/>
                <w:color w:val="000000" w:themeColor="text1"/>
                <w:sz w:val="20"/>
                <w:szCs w:val="20"/>
              </w:rPr>
              <w:t>i</w:t>
            </w:r>
            <w:r w:rsidRPr="00A966B9">
              <w:rPr>
                <w:rFonts w:ascii="Arial" w:eastAsia="Arial" w:hAnsi="Arial" w:cs="Arial"/>
                <w:color w:val="000000" w:themeColor="text1"/>
                <w:sz w:val="20"/>
                <w:szCs w:val="20"/>
              </w:rPr>
              <w:t>nnovative e SAFE: il riconoscimento</w:t>
            </w:r>
            <w:r w:rsidRPr="00C11C56">
              <w:rPr>
                <w:rFonts w:ascii="Arial" w:eastAsia="Arial" w:hAnsi="Arial" w:cs="Arial"/>
                <w:color w:val="000000" w:themeColor="text1"/>
                <w:sz w:val="20"/>
                <w:szCs w:val="20"/>
              </w:rPr>
              <w:t xml:space="preserve"> del criterio di cassa</w:t>
            </w:r>
          </w:p>
          <w:p w14:paraId="766C900D" w14:textId="3709730E" w:rsidR="005239AB" w:rsidRPr="00C11C56" w:rsidRDefault="005239AB" w:rsidP="004B5DEB">
            <w:pPr>
              <w:pStyle w:val="Paragrafoelenco"/>
              <w:numPr>
                <w:ilvl w:val="0"/>
                <w:numId w:val="25"/>
              </w:numPr>
              <w:pBdr>
                <w:top w:val="nil"/>
                <w:left w:val="nil"/>
                <w:bottom w:val="nil"/>
                <w:right w:val="nil"/>
                <w:between w:val="nil"/>
              </w:pBdr>
              <w:spacing w:line="360" w:lineRule="auto"/>
              <w:ind w:leftChars="0" w:right="-30" w:firstLineChars="0"/>
              <w:jc w:val="both"/>
              <w:rPr>
                <w:rFonts w:ascii="Arial" w:eastAsia="Arial" w:hAnsi="Arial" w:cs="Arial"/>
                <w:color w:val="000000" w:themeColor="text1"/>
                <w:sz w:val="20"/>
                <w:szCs w:val="20"/>
              </w:rPr>
            </w:pPr>
            <w:proofErr w:type="gramStart"/>
            <w:r w:rsidRPr="00C11C56">
              <w:rPr>
                <w:rFonts w:ascii="Arial" w:eastAsia="Arial" w:hAnsi="Arial" w:cs="Arial"/>
                <w:color w:val="000000" w:themeColor="text1"/>
                <w:sz w:val="20"/>
                <w:szCs w:val="20"/>
              </w:rPr>
              <w:t>AI</w:t>
            </w:r>
            <w:proofErr w:type="gramEnd"/>
            <w:r w:rsidRPr="00C11C56">
              <w:rPr>
                <w:rFonts w:ascii="Arial" w:eastAsia="Arial" w:hAnsi="Arial" w:cs="Arial"/>
                <w:color w:val="000000" w:themeColor="text1"/>
                <w:sz w:val="20"/>
                <w:szCs w:val="20"/>
              </w:rPr>
              <w:t xml:space="preserve"> Act: dal 2 agosto operativi gli obblighi di trasparenza per imprese e professionisti</w:t>
            </w:r>
          </w:p>
          <w:p w14:paraId="1AB129EB" w14:textId="77777777" w:rsidR="00792D9F" w:rsidRPr="00C11C56" w:rsidRDefault="00EB53B2">
            <w:pPr>
              <w:pBdr>
                <w:top w:val="nil"/>
                <w:left w:val="nil"/>
                <w:bottom w:val="nil"/>
                <w:right w:val="nil"/>
                <w:between w:val="nil"/>
              </w:pBdr>
              <w:spacing w:line="240" w:lineRule="auto"/>
              <w:ind w:left="0" w:right="-30" w:hanging="2"/>
              <w:rPr>
                <w:rFonts w:ascii="Arial" w:eastAsia="Arial" w:hAnsi="Arial" w:cs="Arial"/>
                <w:b/>
                <w:color w:val="366DB3"/>
                <w:sz w:val="20"/>
                <w:szCs w:val="20"/>
              </w:rPr>
            </w:pPr>
            <w:r w:rsidRPr="00C11C56">
              <w:rPr>
                <w:rFonts w:ascii="Arial" w:eastAsia="Arial" w:hAnsi="Arial" w:cs="Arial"/>
                <w:b/>
                <w:color w:val="366DB3"/>
                <w:sz w:val="20"/>
                <w:szCs w:val="20"/>
              </w:rPr>
              <w:t>APPROFONDIMENTI</w:t>
            </w:r>
          </w:p>
        </w:tc>
      </w:tr>
      <w:tr w:rsidR="00792D9F" w14:paraId="00DEBDF1" w14:textId="77777777">
        <w:trPr>
          <w:trHeight w:val="567"/>
        </w:trPr>
        <w:tc>
          <w:tcPr>
            <w:tcW w:w="9670" w:type="dxa"/>
            <w:tcBorders>
              <w:top w:val="single" w:sz="4" w:space="0" w:color="366DB3"/>
            </w:tcBorders>
            <w:vAlign w:val="center"/>
          </w:tcPr>
          <w:p w14:paraId="5F7E4A60" w14:textId="77777777" w:rsidR="004B5DEB" w:rsidRPr="00521692" w:rsidRDefault="004B5DEB" w:rsidP="002E5BF5">
            <w:pPr>
              <w:pStyle w:val="Paragrafoelenco"/>
              <w:numPr>
                <w:ilvl w:val="0"/>
                <w:numId w:val="24"/>
              </w:numPr>
              <w:pBdr>
                <w:top w:val="nil"/>
                <w:left w:val="nil"/>
                <w:bottom w:val="nil"/>
                <w:right w:val="nil"/>
                <w:between w:val="nil"/>
              </w:pBdr>
              <w:spacing w:before="120" w:after="120" w:line="360" w:lineRule="auto"/>
              <w:ind w:leftChars="0" w:right="-28" w:firstLineChars="0"/>
              <w:jc w:val="both"/>
              <w:rPr>
                <w:rFonts w:ascii="Arial" w:eastAsia="Arial" w:hAnsi="Arial" w:cs="Arial"/>
                <w:sz w:val="20"/>
                <w:szCs w:val="20"/>
              </w:rPr>
            </w:pPr>
            <w:r w:rsidRPr="00521692">
              <w:rPr>
                <w:rFonts w:ascii="Arial" w:eastAsia="Arial" w:hAnsi="Arial" w:cs="Arial"/>
                <w:sz w:val="20"/>
                <w:szCs w:val="20"/>
              </w:rPr>
              <w:t>Riforma IVA: il nuovo Testo Unico (</w:t>
            </w:r>
            <w:proofErr w:type="spellStart"/>
            <w:r w:rsidRPr="00521692">
              <w:rPr>
                <w:rFonts w:ascii="Arial" w:eastAsia="Arial" w:hAnsi="Arial" w:cs="Arial"/>
                <w:sz w:val="20"/>
                <w:szCs w:val="20"/>
              </w:rPr>
              <w:t>D.Lgs.</w:t>
            </w:r>
            <w:proofErr w:type="spellEnd"/>
            <w:r w:rsidRPr="00521692">
              <w:rPr>
                <w:rFonts w:ascii="Arial" w:eastAsia="Arial" w:hAnsi="Arial" w:cs="Arial"/>
                <w:sz w:val="20"/>
                <w:szCs w:val="20"/>
              </w:rPr>
              <w:t xml:space="preserve"> n. 10/2026) in vigore dal 1° gennaio 2027</w:t>
            </w:r>
          </w:p>
          <w:p w14:paraId="1DFFFECD" w14:textId="1C16D765" w:rsidR="00792D9F" w:rsidRPr="00C11C56" w:rsidRDefault="004B5DEB" w:rsidP="002E5BF5">
            <w:pPr>
              <w:pStyle w:val="Paragrafoelenco"/>
              <w:numPr>
                <w:ilvl w:val="0"/>
                <w:numId w:val="24"/>
              </w:numPr>
              <w:pBdr>
                <w:top w:val="nil"/>
                <w:left w:val="nil"/>
                <w:bottom w:val="nil"/>
                <w:right w:val="nil"/>
                <w:between w:val="nil"/>
              </w:pBdr>
              <w:spacing w:line="360" w:lineRule="auto"/>
              <w:ind w:leftChars="0" w:right="-30" w:firstLineChars="0"/>
              <w:jc w:val="both"/>
              <w:rPr>
                <w:rFonts w:ascii="Arial" w:eastAsia="Arial" w:hAnsi="Arial" w:cs="Arial"/>
                <w:sz w:val="20"/>
                <w:szCs w:val="20"/>
              </w:rPr>
            </w:pPr>
            <w:r w:rsidRPr="00521692">
              <w:rPr>
                <w:rFonts w:ascii="Arial" w:eastAsia="Arial" w:hAnsi="Arial" w:cs="Arial"/>
                <w:sz w:val="20"/>
                <w:szCs w:val="20"/>
              </w:rPr>
              <w:t xml:space="preserve">Decreto Omnibus: nuovi vantaggi e ravvedimento speciale 2023 per chi rinnova il </w:t>
            </w:r>
            <w:r w:rsidR="00521692" w:rsidRPr="00521692">
              <w:rPr>
                <w:rFonts w:ascii="Arial" w:eastAsia="Arial" w:hAnsi="Arial" w:cs="Arial"/>
                <w:sz w:val="20"/>
                <w:szCs w:val="20"/>
              </w:rPr>
              <w:t>c</w:t>
            </w:r>
            <w:r w:rsidRPr="00521692">
              <w:rPr>
                <w:rFonts w:ascii="Arial" w:eastAsia="Arial" w:hAnsi="Arial" w:cs="Arial"/>
                <w:sz w:val="20"/>
                <w:szCs w:val="20"/>
              </w:rPr>
              <w:t xml:space="preserve">oncordato </w:t>
            </w:r>
            <w:r w:rsidR="00521692" w:rsidRPr="00521692">
              <w:rPr>
                <w:rFonts w:ascii="Arial" w:eastAsia="Arial" w:hAnsi="Arial" w:cs="Arial"/>
                <w:sz w:val="20"/>
                <w:szCs w:val="20"/>
              </w:rPr>
              <w:t>p</w:t>
            </w:r>
            <w:r w:rsidRPr="00521692">
              <w:rPr>
                <w:rFonts w:ascii="Arial" w:eastAsia="Arial" w:hAnsi="Arial" w:cs="Arial"/>
                <w:sz w:val="20"/>
                <w:szCs w:val="20"/>
              </w:rPr>
              <w:t xml:space="preserve">reventivo </w:t>
            </w:r>
            <w:r w:rsidR="00521692" w:rsidRPr="00521692">
              <w:rPr>
                <w:rFonts w:ascii="Arial" w:eastAsia="Arial" w:hAnsi="Arial" w:cs="Arial"/>
                <w:sz w:val="20"/>
                <w:szCs w:val="20"/>
              </w:rPr>
              <w:t>b</w:t>
            </w:r>
            <w:r w:rsidRPr="00521692">
              <w:rPr>
                <w:rFonts w:ascii="Arial" w:eastAsia="Arial" w:hAnsi="Arial" w:cs="Arial"/>
                <w:sz w:val="20"/>
                <w:szCs w:val="20"/>
              </w:rPr>
              <w:t>iennale</w:t>
            </w:r>
          </w:p>
        </w:tc>
      </w:tr>
    </w:tbl>
    <w:tbl>
      <w:tblPr>
        <w:tblStyle w:val="a0"/>
        <w:tblW w:w="9670" w:type="dxa"/>
        <w:tblInd w:w="0" w:type="dxa"/>
        <w:tblLayout w:type="fixed"/>
        <w:tblLook w:val="0000" w:firstRow="0" w:lastRow="0" w:firstColumn="0" w:lastColumn="0" w:noHBand="0" w:noVBand="0"/>
      </w:tblPr>
      <w:tblGrid>
        <w:gridCol w:w="9670"/>
      </w:tblGrid>
      <w:tr w:rsidR="00792D9F" w14:paraId="7487B966" w14:textId="77777777">
        <w:trPr>
          <w:trHeight w:val="567"/>
        </w:trPr>
        <w:tc>
          <w:tcPr>
            <w:tcW w:w="9670" w:type="dxa"/>
            <w:tcBorders>
              <w:bottom w:val="single" w:sz="4" w:space="0" w:color="366DB3"/>
            </w:tcBorders>
            <w:vAlign w:val="center"/>
          </w:tcPr>
          <w:p w14:paraId="5D5DDA2C" w14:textId="77777777" w:rsidR="00792D9F" w:rsidRDefault="00EB53B2">
            <w:pPr>
              <w:pBdr>
                <w:top w:val="nil"/>
                <w:left w:val="nil"/>
                <w:bottom w:val="nil"/>
                <w:right w:val="nil"/>
                <w:between w:val="nil"/>
              </w:pBdr>
              <w:spacing w:line="240" w:lineRule="auto"/>
              <w:ind w:left="0" w:right="-30" w:hanging="2"/>
              <w:rPr>
                <w:rFonts w:ascii="Arial" w:eastAsia="Arial" w:hAnsi="Arial" w:cs="Arial"/>
                <w:b/>
                <w:color w:val="366DB3"/>
                <w:sz w:val="20"/>
                <w:szCs w:val="20"/>
              </w:rPr>
            </w:pPr>
            <w:r>
              <w:rPr>
                <w:rFonts w:ascii="Arial" w:eastAsia="Arial" w:hAnsi="Arial" w:cs="Arial"/>
                <w:b/>
                <w:color w:val="366DB3"/>
                <w:sz w:val="20"/>
                <w:szCs w:val="20"/>
              </w:rPr>
              <w:t>PRINCIPALI SCADENZE</w:t>
            </w:r>
          </w:p>
        </w:tc>
      </w:tr>
    </w:tbl>
    <w:p w14:paraId="15E08215" w14:textId="77777777" w:rsidR="00792D9F" w:rsidRDefault="00792D9F">
      <w:pPr>
        <w:pBdr>
          <w:top w:val="nil"/>
          <w:left w:val="nil"/>
          <w:bottom w:val="nil"/>
          <w:right w:val="nil"/>
          <w:between w:val="nil"/>
        </w:pBdr>
        <w:spacing w:line="240" w:lineRule="auto"/>
        <w:ind w:left="0" w:hanging="2"/>
        <w:rPr>
          <w:color w:val="000000"/>
        </w:rPr>
        <w:sectPr w:rsidR="00792D9F">
          <w:headerReference w:type="default" r:id="rId8"/>
          <w:footerReference w:type="even" r:id="rId9"/>
          <w:footerReference w:type="default" r:id="rId10"/>
          <w:pgSz w:w="11906" w:h="16838"/>
          <w:pgMar w:top="1418" w:right="1134" w:bottom="1134" w:left="1134" w:header="709" w:footer="709" w:gutter="0"/>
          <w:pgNumType w:start="1"/>
          <w:cols w:space="720"/>
        </w:sectPr>
      </w:pPr>
    </w:p>
    <w:tbl>
      <w:tblPr>
        <w:tblStyle w:val="a1"/>
        <w:tblW w:w="9670" w:type="dxa"/>
        <w:tblInd w:w="0" w:type="dxa"/>
        <w:tblLayout w:type="fixed"/>
        <w:tblLook w:val="0000" w:firstRow="0" w:lastRow="0" w:firstColumn="0" w:lastColumn="0" w:noHBand="0" w:noVBand="0"/>
      </w:tblPr>
      <w:tblGrid>
        <w:gridCol w:w="9670"/>
      </w:tblGrid>
      <w:tr w:rsidR="00792D9F" w14:paraId="535A1103" w14:textId="77777777">
        <w:trPr>
          <w:trHeight w:val="567"/>
        </w:trPr>
        <w:tc>
          <w:tcPr>
            <w:tcW w:w="9670" w:type="dxa"/>
            <w:tcBorders>
              <w:bottom w:val="single" w:sz="4" w:space="0" w:color="366DB3"/>
            </w:tcBorders>
            <w:vAlign w:val="center"/>
          </w:tcPr>
          <w:p w14:paraId="359940DC" w14:textId="77777777" w:rsidR="00792D9F" w:rsidRDefault="00EB53B2">
            <w:pPr>
              <w:pBdr>
                <w:top w:val="nil"/>
                <w:left w:val="nil"/>
                <w:bottom w:val="nil"/>
                <w:right w:val="nil"/>
                <w:between w:val="nil"/>
              </w:pBdr>
              <w:spacing w:line="240" w:lineRule="auto"/>
              <w:ind w:left="1" w:right="-30" w:hanging="3"/>
              <w:jc w:val="center"/>
              <w:rPr>
                <w:rFonts w:ascii="Arial" w:eastAsia="Arial" w:hAnsi="Arial" w:cs="Arial"/>
                <w:b/>
                <w:color w:val="366DB3"/>
                <w:sz w:val="28"/>
                <w:szCs w:val="28"/>
              </w:rPr>
            </w:pPr>
            <w:proofErr w:type="gramStart"/>
            <w:r>
              <w:rPr>
                <w:rFonts w:ascii="Arial" w:eastAsia="Arial" w:hAnsi="Arial" w:cs="Arial"/>
                <w:b/>
                <w:color w:val="366DB3"/>
                <w:sz w:val="28"/>
                <w:szCs w:val="28"/>
              </w:rPr>
              <w:lastRenderedPageBreak/>
              <w:t>IN BREVE</w:t>
            </w:r>
            <w:proofErr w:type="gramEnd"/>
          </w:p>
        </w:tc>
      </w:tr>
    </w:tbl>
    <w:p w14:paraId="414B78CE" w14:textId="77777777" w:rsidR="00792D9F" w:rsidRPr="00062B15" w:rsidRDefault="00792D9F" w:rsidP="00062B15">
      <w:pPr>
        <w:pStyle w:val="titolodocumento"/>
        <w:suppressAutoHyphens w:val="0"/>
        <w:spacing w:line="300" w:lineRule="atLeast"/>
        <w:ind w:leftChars="0" w:left="0" w:firstLineChars="0" w:firstLine="0"/>
        <w:jc w:val="both"/>
        <w:textAlignment w:val="auto"/>
        <w:outlineLvl w:val="9"/>
        <w:rPr>
          <w:rFonts w:ascii="Arial" w:hAnsi="Arial" w:cs="Arial"/>
          <w:b w:val="0"/>
          <w:imprint w:val="0"/>
          <w:color w:val="auto"/>
          <w:position w:val="0"/>
          <w:sz w:val="20"/>
          <w:szCs w:val="20"/>
        </w:rPr>
      </w:pPr>
    </w:p>
    <w:p w14:paraId="4E5F527A" w14:textId="737FC9BE" w:rsidR="00062B15" w:rsidRPr="00062B15" w:rsidRDefault="00062B15" w:rsidP="00062B15">
      <w:pPr>
        <w:shd w:val="clear" w:color="auto" w:fill="FFFFFF"/>
        <w:overflowPunct w:val="0"/>
        <w:autoSpaceDE w:val="0"/>
        <w:autoSpaceDN w:val="0"/>
        <w:adjustRightInd w:val="0"/>
        <w:spacing w:line="300" w:lineRule="atLeast"/>
        <w:ind w:left="0" w:hanging="2"/>
        <w:jc w:val="both"/>
        <w:textAlignment w:val="baseline"/>
        <w:rPr>
          <w:rFonts w:ascii="Calibri" w:eastAsia="Aptos" w:hAnsi="Calibri" w:cs="Arial"/>
          <w:color w:val="0F0F0F"/>
          <w:kern w:val="2"/>
          <w:sz w:val="22"/>
          <w:szCs w:val="22"/>
          <w:lang w:eastAsia="en-US"/>
        </w:rPr>
      </w:pPr>
      <w:r w:rsidRPr="00062B15">
        <w:rPr>
          <w:rFonts w:ascii="Calibri" w:eastAsia="Aptos" w:hAnsi="Calibri" w:cs="Arial"/>
          <w:color w:val="0F0F0F"/>
          <w:kern w:val="2"/>
          <w:sz w:val="22"/>
          <w:szCs w:val="22"/>
          <w:lang w:eastAsia="en-US"/>
        </w:rPr>
        <w:t>IVA</w:t>
      </w:r>
    </w:p>
    <w:p w14:paraId="62A5AA37" w14:textId="7B07BEA6" w:rsidR="004B5DEB" w:rsidRPr="00062B15" w:rsidRDefault="00521692" w:rsidP="00062B15">
      <w:pPr>
        <w:pBdr>
          <w:top w:val="nil"/>
          <w:left w:val="nil"/>
          <w:bottom w:val="nil"/>
          <w:right w:val="nil"/>
          <w:between w:val="nil"/>
        </w:pBdr>
        <w:spacing w:line="300" w:lineRule="atLeast"/>
        <w:ind w:left="0" w:hanging="2"/>
        <w:jc w:val="both"/>
        <w:rPr>
          <w:rFonts w:ascii="Arial" w:eastAsia="Arial" w:hAnsi="Arial" w:cs="Arial"/>
          <w:b/>
          <w:bCs/>
          <w:sz w:val="20"/>
          <w:szCs w:val="20"/>
        </w:rPr>
      </w:pPr>
      <w:r>
        <w:rPr>
          <w:rFonts w:ascii="Arial" w:eastAsia="Arial" w:hAnsi="Arial" w:cs="Arial"/>
          <w:b/>
          <w:bCs/>
          <w:sz w:val="20"/>
          <w:szCs w:val="20"/>
        </w:rPr>
        <w:t>I</w:t>
      </w:r>
      <w:r w:rsidR="004B5DEB" w:rsidRPr="00062B15">
        <w:rPr>
          <w:rFonts w:ascii="Arial" w:eastAsia="Arial" w:hAnsi="Arial" w:cs="Arial"/>
          <w:b/>
          <w:bCs/>
          <w:sz w:val="20"/>
          <w:szCs w:val="20"/>
        </w:rPr>
        <w:t>n vigore dal 1° gennaio 2027</w:t>
      </w:r>
      <w:r>
        <w:rPr>
          <w:rFonts w:ascii="Arial" w:eastAsia="Arial" w:hAnsi="Arial" w:cs="Arial"/>
          <w:b/>
          <w:bCs/>
          <w:sz w:val="20"/>
          <w:szCs w:val="20"/>
        </w:rPr>
        <w:t xml:space="preserve"> il </w:t>
      </w:r>
      <w:r w:rsidRPr="00062B15">
        <w:rPr>
          <w:rFonts w:ascii="Arial" w:eastAsia="Arial" w:hAnsi="Arial" w:cs="Arial"/>
          <w:b/>
          <w:bCs/>
          <w:sz w:val="20"/>
          <w:szCs w:val="20"/>
        </w:rPr>
        <w:t>nuovo Testo Unico</w:t>
      </w:r>
      <w:r>
        <w:rPr>
          <w:rFonts w:ascii="Arial" w:eastAsia="Arial" w:hAnsi="Arial" w:cs="Arial"/>
          <w:b/>
          <w:bCs/>
          <w:sz w:val="20"/>
          <w:szCs w:val="20"/>
        </w:rPr>
        <w:t xml:space="preserve"> IVA</w:t>
      </w:r>
    </w:p>
    <w:p w14:paraId="6B5284D2" w14:textId="57BE5F14" w:rsidR="00062B15" w:rsidRPr="00062B15" w:rsidRDefault="00062B15" w:rsidP="00062B15">
      <w:pPr>
        <w:pBdr>
          <w:top w:val="nil"/>
          <w:left w:val="nil"/>
          <w:bottom w:val="nil"/>
          <w:right w:val="nil"/>
          <w:between w:val="nil"/>
        </w:pBdr>
        <w:spacing w:line="300" w:lineRule="atLeast"/>
        <w:ind w:left="0" w:hanging="2"/>
        <w:jc w:val="both"/>
        <w:rPr>
          <w:rFonts w:ascii="Arial" w:eastAsia="Arial" w:hAnsi="Arial" w:cs="Arial"/>
          <w:i/>
          <w:iCs/>
          <w:sz w:val="20"/>
          <w:szCs w:val="20"/>
        </w:rPr>
      </w:pPr>
      <w:proofErr w:type="spellStart"/>
      <w:r w:rsidRPr="00062B15">
        <w:rPr>
          <w:rFonts w:ascii="Arial" w:eastAsia="Arial" w:hAnsi="Arial" w:cs="Arial"/>
          <w:i/>
          <w:iCs/>
          <w:sz w:val="20"/>
          <w:szCs w:val="20"/>
        </w:rPr>
        <w:t>D.Lgs.</w:t>
      </w:r>
      <w:proofErr w:type="spellEnd"/>
      <w:r w:rsidRPr="00062B15">
        <w:rPr>
          <w:rFonts w:ascii="Arial" w:eastAsia="Arial" w:hAnsi="Arial" w:cs="Arial"/>
          <w:i/>
          <w:iCs/>
          <w:sz w:val="20"/>
          <w:szCs w:val="20"/>
        </w:rPr>
        <w:t xml:space="preserve"> 19 gennaio 2026, n. 10</w:t>
      </w:r>
    </w:p>
    <w:p w14:paraId="3C135892" w14:textId="554C4DD3" w:rsidR="004B5DEB" w:rsidRPr="00062B15" w:rsidRDefault="004B5DEB" w:rsidP="00062B15">
      <w:pPr>
        <w:pBdr>
          <w:top w:val="nil"/>
          <w:left w:val="nil"/>
          <w:bottom w:val="nil"/>
          <w:right w:val="nil"/>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Con l’approvazione del</w:t>
      </w:r>
      <w:r w:rsidR="00062B15" w:rsidRPr="00062B15">
        <w:rPr>
          <w:rFonts w:ascii="Arial" w:eastAsia="Arial" w:hAnsi="Arial" w:cs="Arial"/>
          <w:sz w:val="20"/>
          <w:szCs w:val="20"/>
        </w:rPr>
        <w:t xml:space="preserve"> </w:t>
      </w:r>
      <w:proofErr w:type="spellStart"/>
      <w:r w:rsidRPr="00062B15">
        <w:rPr>
          <w:rFonts w:ascii="Arial" w:eastAsia="Arial" w:hAnsi="Arial" w:cs="Arial"/>
          <w:sz w:val="20"/>
          <w:szCs w:val="20"/>
        </w:rPr>
        <w:t>D.Lgs.</w:t>
      </w:r>
      <w:proofErr w:type="spellEnd"/>
      <w:r w:rsidRPr="00062B15">
        <w:rPr>
          <w:rFonts w:ascii="Arial" w:eastAsia="Arial" w:hAnsi="Arial" w:cs="Arial"/>
          <w:sz w:val="20"/>
          <w:szCs w:val="20"/>
        </w:rPr>
        <w:t xml:space="preserve"> 19 gennaio 2026, n. 10</w:t>
      </w:r>
      <w:r w:rsidR="00062B15">
        <w:rPr>
          <w:rFonts w:ascii="Arial" w:eastAsia="Arial" w:hAnsi="Arial" w:cs="Arial"/>
          <w:sz w:val="20"/>
          <w:szCs w:val="20"/>
        </w:rPr>
        <w:t xml:space="preserve"> </w:t>
      </w:r>
      <w:r w:rsidRPr="00062B15">
        <w:rPr>
          <w:rFonts w:ascii="Arial" w:eastAsia="Arial" w:hAnsi="Arial" w:cs="Arial"/>
          <w:sz w:val="20"/>
          <w:szCs w:val="20"/>
        </w:rPr>
        <w:t>(pubblicato in Gazzetta Ufficiale n. 24 del 30 gennaio 2026, Suppl. Ord. n. 4), l’ordinamento tributario italiano compie uno storico passo verso la semplificazione e il riordino delle imposte indirette. Dopo oltre mezzo secolo di onorato servizio</w:t>
      </w:r>
      <w:r w:rsidR="00062B15">
        <w:rPr>
          <w:rFonts w:ascii="Arial" w:eastAsia="Arial" w:hAnsi="Arial" w:cs="Arial"/>
          <w:sz w:val="20"/>
          <w:szCs w:val="20"/>
        </w:rPr>
        <w:t>,</w:t>
      </w:r>
      <w:r w:rsidRPr="00062B15">
        <w:rPr>
          <w:rFonts w:ascii="Arial" w:eastAsia="Arial" w:hAnsi="Arial" w:cs="Arial"/>
          <w:sz w:val="20"/>
          <w:szCs w:val="20"/>
        </w:rPr>
        <w:t xml:space="preserve"> il</w:t>
      </w:r>
      <w:r w:rsidR="00062B15">
        <w:rPr>
          <w:rFonts w:ascii="Arial" w:eastAsia="Arial" w:hAnsi="Arial" w:cs="Arial"/>
          <w:sz w:val="20"/>
          <w:szCs w:val="20"/>
        </w:rPr>
        <w:t xml:space="preserve"> </w:t>
      </w:r>
      <w:r w:rsidRPr="00062B15">
        <w:rPr>
          <w:rFonts w:ascii="Arial" w:eastAsia="Arial" w:hAnsi="Arial" w:cs="Arial"/>
          <w:sz w:val="20"/>
          <w:szCs w:val="20"/>
        </w:rPr>
        <w:t>D.P.R. 26 ottobre 1972, n. 633</w:t>
      </w:r>
      <w:r w:rsidR="00062B15">
        <w:rPr>
          <w:rFonts w:ascii="Arial" w:eastAsia="Arial" w:hAnsi="Arial" w:cs="Arial"/>
          <w:sz w:val="20"/>
          <w:szCs w:val="20"/>
        </w:rPr>
        <w:t xml:space="preserve"> </w:t>
      </w:r>
      <w:r w:rsidRPr="00062B15">
        <w:rPr>
          <w:rFonts w:ascii="Arial" w:eastAsia="Arial" w:hAnsi="Arial" w:cs="Arial"/>
          <w:sz w:val="20"/>
          <w:szCs w:val="20"/>
        </w:rPr>
        <w:t>lascia il posto al</w:t>
      </w:r>
      <w:r w:rsidR="00062B15">
        <w:rPr>
          <w:rFonts w:ascii="Arial" w:eastAsia="Arial" w:hAnsi="Arial" w:cs="Arial"/>
          <w:sz w:val="20"/>
          <w:szCs w:val="20"/>
        </w:rPr>
        <w:t xml:space="preserve"> n</w:t>
      </w:r>
      <w:r w:rsidRPr="00062B15">
        <w:rPr>
          <w:rFonts w:ascii="Arial" w:eastAsia="Arial" w:hAnsi="Arial" w:cs="Arial"/>
          <w:sz w:val="20"/>
          <w:szCs w:val="20"/>
        </w:rPr>
        <w:t>uovo Testo Unico dell’IVA.</w:t>
      </w:r>
    </w:p>
    <w:p w14:paraId="4D39BDAB" w14:textId="77181CDF" w:rsidR="004B5DEB" w:rsidRPr="00062B15" w:rsidRDefault="004B5DEB" w:rsidP="00062B15">
      <w:pPr>
        <w:pBdr>
          <w:top w:val="nil"/>
          <w:left w:val="nil"/>
          <w:bottom w:val="nil"/>
          <w:right w:val="nil"/>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Il nuovo Testo Unico non si limita però a sostituire il D</w:t>
      </w:r>
      <w:r w:rsidR="00062B15">
        <w:rPr>
          <w:rFonts w:ascii="Arial" w:eastAsia="Arial" w:hAnsi="Arial" w:cs="Arial"/>
          <w:sz w:val="20"/>
          <w:szCs w:val="20"/>
        </w:rPr>
        <w:t>.</w:t>
      </w:r>
      <w:r w:rsidRPr="00062B15">
        <w:rPr>
          <w:rFonts w:ascii="Arial" w:eastAsia="Arial" w:hAnsi="Arial" w:cs="Arial"/>
          <w:sz w:val="20"/>
          <w:szCs w:val="20"/>
        </w:rPr>
        <w:t>P</w:t>
      </w:r>
      <w:r w:rsidR="00062B15">
        <w:rPr>
          <w:rFonts w:ascii="Arial" w:eastAsia="Arial" w:hAnsi="Arial" w:cs="Arial"/>
          <w:sz w:val="20"/>
          <w:szCs w:val="20"/>
        </w:rPr>
        <w:t>.</w:t>
      </w:r>
      <w:r w:rsidRPr="00062B15">
        <w:rPr>
          <w:rFonts w:ascii="Arial" w:eastAsia="Arial" w:hAnsi="Arial" w:cs="Arial"/>
          <w:sz w:val="20"/>
          <w:szCs w:val="20"/>
        </w:rPr>
        <w:t>R</w:t>
      </w:r>
      <w:r w:rsidR="00062B15">
        <w:rPr>
          <w:rFonts w:ascii="Arial" w:eastAsia="Arial" w:hAnsi="Arial" w:cs="Arial"/>
          <w:sz w:val="20"/>
          <w:szCs w:val="20"/>
        </w:rPr>
        <w:t>.</w:t>
      </w:r>
      <w:r w:rsidRPr="00062B15">
        <w:rPr>
          <w:rFonts w:ascii="Arial" w:eastAsia="Arial" w:hAnsi="Arial" w:cs="Arial"/>
          <w:sz w:val="20"/>
          <w:szCs w:val="20"/>
        </w:rPr>
        <w:t xml:space="preserve"> </w:t>
      </w:r>
      <w:r w:rsidR="00062B15">
        <w:rPr>
          <w:rFonts w:ascii="Arial" w:eastAsia="Arial" w:hAnsi="Arial" w:cs="Arial"/>
          <w:sz w:val="20"/>
          <w:szCs w:val="20"/>
        </w:rPr>
        <w:t xml:space="preserve">n. </w:t>
      </w:r>
      <w:r w:rsidRPr="00062B15">
        <w:rPr>
          <w:rFonts w:ascii="Arial" w:eastAsia="Arial" w:hAnsi="Arial" w:cs="Arial"/>
          <w:sz w:val="20"/>
          <w:szCs w:val="20"/>
        </w:rPr>
        <w:t>633/</w:t>
      </w:r>
      <w:r w:rsidR="00062B15">
        <w:rPr>
          <w:rFonts w:ascii="Arial" w:eastAsia="Arial" w:hAnsi="Arial" w:cs="Arial"/>
          <w:sz w:val="20"/>
          <w:szCs w:val="20"/>
        </w:rPr>
        <w:t>19</w:t>
      </w:r>
      <w:r w:rsidRPr="00062B15">
        <w:rPr>
          <w:rFonts w:ascii="Arial" w:eastAsia="Arial" w:hAnsi="Arial" w:cs="Arial"/>
          <w:sz w:val="20"/>
          <w:szCs w:val="20"/>
        </w:rPr>
        <w:t>72, ma assorbe e unifica altre fonti precedentemente frammentate:</w:t>
      </w:r>
    </w:p>
    <w:p w14:paraId="3B2E20CA" w14:textId="26410355" w:rsidR="004B5DEB" w:rsidRPr="00062B15" w:rsidRDefault="004B5DEB" w:rsidP="00062B15">
      <w:pPr>
        <w:pStyle w:val="Paragrafoelenco"/>
        <w:numPr>
          <w:ilvl w:val="0"/>
          <w:numId w:val="15"/>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la disciplina delle</w:t>
      </w:r>
      <w:r w:rsidR="00062B15">
        <w:rPr>
          <w:rFonts w:ascii="Arial" w:eastAsia="Arial" w:hAnsi="Arial" w:cs="Arial"/>
          <w:sz w:val="20"/>
          <w:szCs w:val="20"/>
        </w:rPr>
        <w:t xml:space="preserve"> </w:t>
      </w:r>
      <w:r w:rsidRPr="00062B15">
        <w:rPr>
          <w:rFonts w:ascii="Arial" w:eastAsia="Arial" w:hAnsi="Arial" w:cs="Arial"/>
          <w:b/>
          <w:bCs/>
          <w:sz w:val="20"/>
          <w:szCs w:val="20"/>
        </w:rPr>
        <w:t>operazioni intracomunitarie</w:t>
      </w:r>
      <w:r w:rsidR="00062B15">
        <w:rPr>
          <w:rFonts w:ascii="Arial" w:eastAsia="Arial" w:hAnsi="Arial" w:cs="Arial"/>
          <w:sz w:val="20"/>
          <w:szCs w:val="20"/>
        </w:rPr>
        <w:t xml:space="preserve"> </w:t>
      </w:r>
      <w:r w:rsidRPr="00062B15">
        <w:rPr>
          <w:rFonts w:ascii="Arial" w:eastAsia="Arial" w:hAnsi="Arial" w:cs="Arial"/>
          <w:sz w:val="20"/>
          <w:szCs w:val="20"/>
        </w:rPr>
        <w:t xml:space="preserve">(D.L. </w:t>
      </w:r>
      <w:r w:rsidR="00062B15">
        <w:rPr>
          <w:rFonts w:ascii="Arial" w:eastAsia="Arial" w:hAnsi="Arial" w:cs="Arial"/>
          <w:sz w:val="20"/>
          <w:szCs w:val="20"/>
        </w:rPr>
        <w:t xml:space="preserve">n. </w:t>
      </w:r>
      <w:r w:rsidRPr="00062B15">
        <w:rPr>
          <w:rFonts w:ascii="Arial" w:eastAsia="Arial" w:hAnsi="Arial" w:cs="Arial"/>
          <w:sz w:val="20"/>
          <w:szCs w:val="20"/>
        </w:rPr>
        <w:t>331/1993);</w:t>
      </w:r>
    </w:p>
    <w:p w14:paraId="73ACACC9" w14:textId="01B41795" w:rsidR="004B5DEB" w:rsidRPr="00062B15" w:rsidRDefault="004B5DEB" w:rsidP="00062B15">
      <w:pPr>
        <w:pStyle w:val="Paragrafoelenco"/>
        <w:numPr>
          <w:ilvl w:val="0"/>
          <w:numId w:val="15"/>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il</w:t>
      </w:r>
      <w:r w:rsidR="00062B15">
        <w:rPr>
          <w:rFonts w:ascii="Arial" w:eastAsia="Arial" w:hAnsi="Arial" w:cs="Arial"/>
          <w:sz w:val="20"/>
          <w:szCs w:val="20"/>
        </w:rPr>
        <w:t xml:space="preserve"> </w:t>
      </w:r>
      <w:r w:rsidRPr="00062B15">
        <w:rPr>
          <w:rFonts w:ascii="Arial" w:eastAsia="Arial" w:hAnsi="Arial" w:cs="Arial"/>
          <w:b/>
          <w:bCs/>
          <w:sz w:val="20"/>
          <w:szCs w:val="20"/>
        </w:rPr>
        <w:t>regime del margine</w:t>
      </w:r>
      <w:r w:rsidR="00062B15">
        <w:rPr>
          <w:rFonts w:ascii="Arial" w:eastAsia="Arial" w:hAnsi="Arial" w:cs="Arial"/>
          <w:sz w:val="20"/>
          <w:szCs w:val="20"/>
        </w:rPr>
        <w:t xml:space="preserve"> </w:t>
      </w:r>
      <w:r w:rsidRPr="00062B15">
        <w:rPr>
          <w:rFonts w:ascii="Arial" w:eastAsia="Arial" w:hAnsi="Arial" w:cs="Arial"/>
          <w:sz w:val="20"/>
          <w:szCs w:val="20"/>
        </w:rPr>
        <w:t xml:space="preserve">per beni usati, antiquariato e arte (D.L. </w:t>
      </w:r>
      <w:r w:rsidR="00062B15">
        <w:rPr>
          <w:rFonts w:ascii="Arial" w:eastAsia="Arial" w:hAnsi="Arial" w:cs="Arial"/>
          <w:sz w:val="20"/>
          <w:szCs w:val="20"/>
        </w:rPr>
        <w:t xml:space="preserve">n. </w:t>
      </w:r>
      <w:r w:rsidRPr="00062B15">
        <w:rPr>
          <w:rFonts w:ascii="Arial" w:eastAsia="Arial" w:hAnsi="Arial" w:cs="Arial"/>
          <w:sz w:val="20"/>
          <w:szCs w:val="20"/>
        </w:rPr>
        <w:t>41/1995);</w:t>
      </w:r>
    </w:p>
    <w:p w14:paraId="426D9F31" w14:textId="5CFB43B2" w:rsidR="004B5DEB" w:rsidRPr="00062B15" w:rsidRDefault="004B5DEB" w:rsidP="00062B15">
      <w:pPr>
        <w:pStyle w:val="Paragrafoelenco"/>
        <w:numPr>
          <w:ilvl w:val="0"/>
          <w:numId w:val="15"/>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le disposizioni complementari in tema di</w:t>
      </w:r>
      <w:r w:rsidR="00062B15">
        <w:rPr>
          <w:rFonts w:ascii="Arial" w:eastAsia="Arial" w:hAnsi="Arial" w:cs="Arial"/>
          <w:sz w:val="20"/>
          <w:szCs w:val="20"/>
        </w:rPr>
        <w:t xml:space="preserve"> </w:t>
      </w:r>
      <w:r w:rsidRPr="00062B15">
        <w:rPr>
          <w:rFonts w:ascii="Arial" w:eastAsia="Arial" w:hAnsi="Arial" w:cs="Arial"/>
          <w:b/>
          <w:bCs/>
          <w:sz w:val="20"/>
          <w:szCs w:val="20"/>
        </w:rPr>
        <w:t>fatturazione elettronica e trasmissione telematica</w:t>
      </w:r>
      <w:r w:rsidR="00062B15">
        <w:rPr>
          <w:rFonts w:ascii="Arial" w:eastAsia="Arial" w:hAnsi="Arial" w:cs="Arial"/>
          <w:sz w:val="20"/>
          <w:szCs w:val="20"/>
        </w:rPr>
        <w:t xml:space="preserve"> </w:t>
      </w:r>
      <w:r w:rsidRPr="00062B15">
        <w:rPr>
          <w:rFonts w:ascii="Arial" w:eastAsia="Arial" w:hAnsi="Arial" w:cs="Arial"/>
          <w:sz w:val="20"/>
          <w:szCs w:val="20"/>
        </w:rPr>
        <w:t>(</w:t>
      </w:r>
      <w:proofErr w:type="spellStart"/>
      <w:r w:rsidRPr="00062B15">
        <w:rPr>
          <w:rFonts w:ascii="Arial" w:eastAsia="Arial" w:hAnsi="Arial" w:cs="Arial"/>
          <w:sz w:val="20"/>
          <w:szCs w:val="20"/>
        </w:rPr>
        <w:t>D.Lgs.</w:t>
      </w:r>
      <w:proofErr w:type="spellEnd"/>
      <w:r w:rsidRPr="00062B15">
        <w:rPr>
          <w:rFonts w:ascii="Arial" w:eastAsia="Arial" w:hAnsi="Arial" w:cs="Arial"/>
          <w:sz w:val="20"/>
          <w:szCs w:val="20"/>
        </w:rPr>
        <w:t xml:space="preserve"> </w:t>
      </w:r>
      <w:r w:rsidR="00062B15">
        <w:rPr>
          <w:rFonts w:ascii="Arial" w:eastAsia="Arial" w:hAnsi="Arial" w:cs="Arial"/>
          <w:sz w:val="20"/>
          <w:szCs w:val="20"/>
        </w:rPr>
        <w:t xml:space="preserve">n. </w:t>
      </w:r>
      <w:r w:rsidRPr="00062B15">
        <w:rPr>
          <w:rFonts w:ascii="Arial" w:eastAsia="Arial" w:hAnsi="Arial" w:cs="Arial"/>
          <w:sz w:val="20"/>
          <w:szCs w:val="20"/>
        </w:rPr>
        <w:t>127/2015).</w:t>
      </w:r>
    </w:p>
    <w:p w14:paraId="02810487" w14:textId="77777777" w:rsidR="004B5DEB" w:rsidRPr="00062B15" w:rsidRDefault="004B5DEB" w:rsidP="00062B15">
      <w:pPr>
        <w:pBdr>
          <w:top w:val="nil"/>
          <w:left w:val="nil"/>
          <w:bottom w:val="nil"/>
          <w:right w:val="nil"/>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Restano invece disciplinati da autonomi testi normativi gli ambiti relativi a sanzioni e accertamento.</w:t>
      </w:r>
    </w:p>
    <w:p w14:paraId="2A976DD6" w14:textId="46C4D9A5" w:rsidR="004B5DEB" w:rsidRPr="00062B15" w:rsidRDefault="004B5DEB" w:rsidP="00062B15">
      <w:pPr>
        <w:pBdr>
          <w:top w:val="nil"/>
          <w:left w:val="nil"/>
          <w:bottom w:val="nil"/>
          <w:right w:val="nil"/>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Il provvedimento ha</w:t>
      </w:r>
      <w:r w:rsidR="00062B15">
        <w:rPr>
          <w:rFonts w:ascii="Arial" w:eastAsia="Arial" w:hAnsi="Arial" w:cs="Arial"/>
          <w:sz w:val="20"/>
          <w:szCs w:val="20"/>
        </w:rPr>
        <w:t xml:space="preserve"> </w:t>
      </w:r>
      <w:r w:rsidRPr="00062B15">
        <w:rPr>
          <w:rFonts w:ascii="Arial" w:eastAsia="Arial" w:hAnsi="Arial" w:cs="Arial"/>
          <w:b/>
          <w:bCs/>
          <w:sz w:val="20"/>
          <w:szCs w:val="20"/>
        </w:rPr>
        <w:t>carattere prevalentemente compilativo</w:t>
      </w:r>
      <w:r w:rsidRPr="00062B15">
        <w:rPr>
          <w:rFonts w:ascii="Arial" w:eastAsia="Arial" w:hAnsi="Arial" w:cs="Arial"/>
          <w:sz w:val="20"/>
          <w:szCs w:val="20"/>
        </w:rPr>
        <w:t>: non vengono stravolti i principi sostanziali dell’imposta, ma l’intera materia viene riscritta secondo una sequenza logica aderente all’ossatura della</w:t>
      </w:r>
      <w:r w:rsidR="00062B15">
        <w:rPr>
          <w:rFonts w:ascii="Arial" w:eastAsia="Arial" w:hAnsi="Arial" w:cs="Arial"/>
          <w:sz w:val="20"/>
          <w:szCs w:val="20"/>
        </w:rPr>
        <w:t xml:space="preserve"> </w:t>
      </w:r>
      <w:r w:rsidRPr="00062B15">
        <w:rPr>
          <w:rFonts w:ascii="Arial" w:eastAsia="Arial" w:hAnsi="Arial" w:cs="Arial"/>
          <w:sz w:val="20"/>
          <w:szCs w:val="20"/>
        </w:rPr>
        <w:t>Direttiva comunitaria 2006/112/CE.</w:t>
      </w:r>
    </w:p>
    <w:p w14:paraId="67A3FB12" w14:textId="77777777" w:rsidR="00792D9F" w:rsidRPr="00062B15" w:rsidRDefault="00792D9F" w:rsidP="00062B15">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58F6205A" w14:textId="77777777" w:rsidR="00062B15" w:rsidRPr="00062B15" w:rsidRDefault="00062B15" w:rsidP="00062B15">
      <w:pPr>
        <w:shd w:val="clear" w:color="auto" w:fill="FFFFFF"/>
        <w:suppressAutoHyphens w:val="0"/>
        <w:overflowPunct w:val="0"/>
        <w:autoSpaceDE w:val="0"/>
        <w:autoSpaceDN w:val="0"/>
        <w:adjustRightInd w:val="0"/>
        <w:spacing w:line="300" w:lineRule="atLeast"/>
        <w:ind w:leftChars="0" w:left="0" w:firstLineChars="0" w:hanging="2"/>
        <w:jc w:val="both"/>
        <w:textAlignment w:val="baseline"/>
        <w:outlineLvl w:val="9"/>
        <w:rPr>
          <w:rFonts w:ascii="Arial" w:hAnsi="Arial" w:cs="Arial"/>
          <w:i/>
          <w:color w:val="0F0F0F"/>
          <w:position w:val="0"/>
          <w:sz w:val="20"/>
          <w:szCs w:val="20"/>
        </w:rPr>
      </w:pPr>
      <w:r w:rsidRPr="00062B15">
        <w:rPr>
          <w:rFonts w:ascii="Arial" w:hAnsi="Arial" w:cs="Arial"/>
          <w:i/>
          <w:color w:val="0F0F0F"/>
          <w:position w:val="0"/>
          <w:sz w:val="20"/>
          <w:szCs w:val="20"/>
        </w:rPr>
        <w:t>Vedi l’Approfondimento</w:t>
      </w:r>
    </w:p>
    <w:p w14:paraId="78E7ECBC" w14:textId="77777777" w:rsidR="00792D9F" w:rsidRPr="00062B15" w:rsidRDefault="00792D9F" w:rsidP="00062B15">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51F6DC8D" w14:textId="77777777" w:rsidR="00792D9F" w:rsidRPr="00062B15" w:rsidRDefault="00792D9F" w:rsidP="00062B15">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0EA3FDCE" w14:textId="77777777" w:rsidR="00062B15" w:rsidRPr="00611544" w:rsidRDefault="00062B15" w:rsidP="00062B15">
      <w:pPr>
        <w:shd w:val="clear" w:color="auto" w:fill="FFFFFF"/>
        <w:spacing w:line="300" w:lineRule="atLeast"/>
        <w:ind w:left="0" w:hanging="2"/>
        <w:jc w:val="both"/>
        <w:rPr>
          <w:rFonts w:ascii="Calibri" w:eastAsia="Aptos" w:hAnsi="Calibri" w:cs="Arial"/>
          <w:color w:val="0F0F0F"/>
          <w:kern w:val="2"/>
          <w:sz w:val="22"/>
          <w:szCs w:val="22"/>
          <w:lang w:eastAsia="en-US"/>
        </w:rPr>
      </w:pPr>
      <w:bookmarkStart w:id="0" w:name="_Hlk141350062"/>
      <w:r w:rsidRPr="00611544">
        <w:rPr>
          <w:rFonts w:ascii="Calibri" w:eastAsia="Aptos" w:hAnsi="Calibri" w:cs="Arial"/>
          <w:color w:val="0F0F0F"/>
          <w:kern w:val="2"/>
          <w:sz w:val="22"/>
          <w:szCs w:val="22"/>
          <w:lang w:eastAsia="en-US"/>
        </w:rPr>
        <w:t>ACCERTAMENTO E RISCOSSIONE</w:t>
      </w:r>
    </w:p>
    <w:bookmarkEnd w:id="0"/>
    <w:p w14:paraId="442A8119" w14:textId="69BE4F4B" w:rsidR="004B5DEB" w:rsidRPr="00062B15" w:rsidRDefault="00521692" w:rsidP="00062B15">
      <w:pPr>
        <w:pBdr>
          <w:top w:val="nil"/>
          <w:left w:val="nil"/>
          <w:bottom w:val="nil"/>
          <w:right w:val="nil"/>
          <w:between w:val="nil"/>
        </w:pBdr>
        <w:spacing w:line="300" w:lineRule="atLeast"/>
        <w:ind w:leftChars="0" w:left="0" w:right="-30" w:firstLineChars="0" w:firstLine="0"/>
        <w:jc w:val="both"/>
        <w:rPr>
          <w:rFonts w:ascii="Arial" w:eastAsia="Arial" w:hAnsi="Arial" w:cs="Arial"/>
          <w:b/>
          <w:sz w:val="20"/>
          <w:szCs w:val="20"/>
        </w:rPr>
      </w:pPr>
      <w:r>
        <w:rPr>
          <w:rFonts w:ascii="Arial" w:eastAsia="Arial" w:hAnsi="Arial" w:cs="Arial"/>
          <w:b/>
          <w:sz w:val="20"/>
          <w:szCs w:val="20"/>
        </w:rPr>
        <w:t>Le novità per il c</w:t>
      </w:r>
      <w:r w:rsidRPr="00062B15">
        <w:rPr>
          <w:rFonts w:ascii="Arial" w:eastAsia="Arial" w:hAnsi="Arial" w:cs="Arial"/>
          <w:b/>
          <w:sz w:val="20"/>
          <w:szCs w:val="20"/>
        </w:rPr>
        <w:t xml:space="preserve">oncordato </w:t>
      </w:r>
      <w:r>
        <w:rPr>
          <w:rFonts w:ascii="Arial" w:eastAsia="Arial" w:hAnsi="Arial" w:cs="Arial"/>
          <w:b/>
          <w:sz w:val="20"/>
          <w:szCs w:val="20"/>
        </w:rPr>
        <w:t>p</w:t>
      </w:r>
      <w:r w:rsidRPr="00062B15">
        <w:rPr>
          <w:rFonts w:ascii="Arial" w:eastAsia="Arial" w:hAnsi="Arial" w:cs="Arial"/>
          <w:b/>
          <w:sz w:val="20"/>
          <w:szCs w:val="20"/>
        </w:rPr>
        <w:t xml:space="preserve">reventivo </w:t>
      </w:r>
      <w:r>
        <w:rPr>
          <w:rFonts w:ascii="Arial" w:eastAsia="Arial" w:hAnsi="Arial" w:cs="Arial"/>
          <w:b/>
          <w:sz w:val="20"/>
          <w:szCs w:val="20"/>
        </w:rPr>
        <w:t>previste dal d</w:t>
      </w:r>
      <w:r w:rsidR="004B5DEB" w:rsidRPr="00062B15">
        <w:rPr>
          <w:rFonts w:ascii="Arial" w:eastAsia="Arial" w:hAnsi="Arial" w:cs="Arial"/>
          <w:b/>
          <w:sz w:val="20"/>
          <w:szCs w:val="20"/>
        </w:rPr>
        <w:t>ecreto Omnibus</w:t>
      </w:r>
    </w:p>
    <w:p w14:paraId="3E22C170" w14:textId="5862EB1D" w:rsidR="00062B15" w:rsidRPr="003D71EE" w:rsidRDefault="00062B15" w:rsidP="00062B15">
      <w:pPr>
        <w:shd w:val="clear" w:color="auto" w:fill="FFFFFF"/>
        <w:spacing w:line="300" w:lineRule="atLeast"/>
        <w:ind w:leftChars="0" w:left="2" w:hanging="2"/>
        <w:jc w:val="both"/>
        <w:rPr>
          <w:rFonts w:ascii="Arial" w:eastAsia="Arial" w:hAnsi="Arial" w:cs="Arial"/>
          <w:i/>
          <w:iCs/>
          <w:sz w:val="20"/>
          <w:szCs w:val="20"/>
        </w:rPr>
      </w:pPr>
      <w:proofErr w:type="spellStart"/>
      <w:r w:rsidRPr="003D71EE">
        <w:rPr>
          <w:rFonts w:ascii="Arial" w:eastAsia="Arial" w:hAnsi="Arial" w:cs="Arial"/>
          <w:i/>
          <w:iCs/>
          <w:sz w:val="20"/>
          <w:szCs w:val="20"/>
        </w:rPr>
        <w:t>D.Lgs.</w:t>
      </w:r>
      <w:proofErr w:type="spellEnd"/>
      <w:r w:rsidRPr="003D71EE">
        <w:rPr>
          <w:rFonts w:ascii="Arial" w:eastAsia="Arial" w:hAnsi="Arial" w:cs="Arial"/>
          <w:i/>
          <w:iCs/>
          <w:sz w:val="20"/>
          <w:szCs w:val="20"/>
        </w:rPr>
        <w:t xml:space="preserve"> 7 agosto 2026, n. 148</w:t>
      </w:r>
      <w:r w:rsidR="003D71EE" w:rsidRPr="003D71EE">
        <w:rPr>
          <w:rFonts w:ascii="Arial" w:eastAsia="Arial" w:hAnsi="Arial" w:cs="Arial"/>
          <w:i/>
          <w:iCs/>
          <w:sz w:val="20"/>
          <w:szCs w:val="20"/>
        </w:rPr>
        <w:t>, artt. 28 e</w:t>
      </w:r>
      <w:r w:rsidR="003D71EE">
        <w:rPr>
          <w:rFonts w:ascii="Arial" w:eastAsia="Arial" w:hAnsi="Arial" w:cs="Arial"/>
          <w:i/>
          <w:iCs/>
          <w:sz w:val="20"/>
          <w:szCs w:val="20"/>
        </w:rPr>
        <w:t xml:space="preserve"> 29</w:t>
      </w:r>
    </w:p>
    <w:p w14:paraId="645170CC" w14:textId="543165EC" w:rsidR="004B5DEB" w:rsidRPr="00062B15" w:rsidRDefault="004B5DEB" w:rsidP="00062B15">
      <w:pPr>
        <w:shd w:val="clear" w:color="auto" w:fill="FFFFFF"/>
        <w:spacing w:line="300" w:lineRule="atLeast"/>
        <w:ind w:leftChars="0" w:left="2" w:hanging="2"/>
        <w:jc w:val="both"/>
        <w:rPr>
          <w:rFonts w:ascii="Arial" w:eastAsia="Arial" w:hAnsi="Arial" w:cs="Arial"/>
          <w:sz w:val="20"/>
          <w:szCs w:val="20"/>
        </w:rPr>
      </w:pPr>
      <w:r w:rsidRPr="00062B15">
        <w:rPr>
          <w:rFonts w:ascii="Arial" w:eastAsia="Arial" w:hAnsi="Arial" w:cs="Arial"/>
          <w:sz w:val="20"/>
          <w:szCs w:val="20"/>
        </w:rPr>
        <w:t xml:space="preserve">Il recente </w:t>
      </w:r>
      <w:r w:rsidR="003D71EE">
        <w:rPr>
          <w:rFonts w:ascii="Arial" w:eastAsia="Arial" w:hAnsi="Arial" w:cs="Arial"/>
          <w:sz w:val="20"/>
          <w:szCs w:val="20"/>
        </w:rPr>
        <w:t>d</w:t>
      </w:r>
      <w:r w:rsidRPr="00062B15">
        <w:rPr>
          <w:rFonts w:ascii="Arial" w:eastAsia="Arial" w:hAnsi="Arial" w:cs="Arial"/>
          <w:sz w:val="20"/>
          <w:szCs w:val="20"/>
        </w:rPr>
        <w:t xml:space="preserve">ecreto </w:t>
      </w:r>
      <w:r w:rsidR="003D71EE">
        <w:rPr>
          <w:rFonts w:ascii="Arial" w:eastAsia="Arial" w:hAnsi="Arial" w:cs="Arial"/>
          <w:sz w:val="20"/>
          <w:szCs w:val="20"/>
        </w:rPr>
        <w:t xml:space="preserve">correttivo </w:t>
      </w:r>
      <w:r w:rsidRPr="00062B15">
        <w:rPr>
          <w:rFonts w:ascii="Arial" w:eastAsia="Arial" w:hAnsi="Arial" w:cs="Arial"/>
          <w:sz w:val="20"/>
          <w:szCs w:val="20"/>
        </w:rPr>
        <w:t>Omnib</w:t>
      </w:r>
      <w:r w:rsidRPr="003D71EE">
        <w:rPr>
          <w:rFonts w:ascii="Arial" w:eastAsia="Arial" w:hAnsi="Arial" w:cs="Arial"/>
          <w:sz w:val="20"/>
          <w:szCs w:val="20"/>
        </w:rPr>
        <w:t>us</w:t>
      </w:r>
      <w:r w:rsidR="003D71EE" w:rsidRPr="003D71EE">
        <w:rPr>
          <w:rFonts w:ascii="Arial" w:eastAsia="Arial" w:hAnsi="Arial" w:cs="Arial"/>
          <w:sz w:val="20"/>
          <w:szCs w:val="20"/>
        </w:rPr>
        <w:t xml:space="preserve"> (</w:t>
      </w:r>
      <w:proofErr w:type="spellStart"/>
      <w:r w:rsidR="003D71EE" w:rsidRPr="003D71EE">
        <w:rPr>
          <w:rFonts w:ascii="Arial" w:eastAsia="Arial" w:hAnsi="Arial" w:cs="Arial"/>
          <w:sz w:val="20"/>
          <w:szCs w:val="20"/>
        </w:rPr>
        <w:t>D.Lgs.</w:t>
      </w:r>
      <w:proofErr w:type="spellEnd"/>
      <w:r w:rsidR="003D71EE" w:rsidRPr="003D71EE">
        <w:rPr>
          <w:rFonts w:ascii="Arial" w:eastAsia="Arial" w:hAnsi="Arial" w:cs="Arial"/>
          <w:sz w:val="20"/>
          <w:szCs w:val="20"/>
        </w:rPr>
        <w:t xml:space="preserve"> 7 agosto 2026, n. 148) </w:t>
      </w:r>
      <w:r w:rsidRPr="003D71EE">
        <w:rPr>
          <w:rFonts w:ascii="Arial" w:eastAsia="Arial" w:hAnsi="Arial" w:cs="Arial"/>
          <w:sz w:val="20"/>
          <w:szCs w:val="20"/>
        </w:rPr>
        <w:t>apporta</w:t>
      </w:r>
      <w:r w:rsidRPr="00062B15">
        <w:rPr>
          <w:rFonts w:ascii="Arial" w:eastAsia="Arial" w:hAnsi="Arial" w:cs="Arial"/>
          <w:sz w:val="20"/>
          <w:szCs w:val="20"/>
        </w:rPr>
        <w:t xml:space="preserve"> modifiche sostanziali alla disciplina del </w:t>
      </w:r>
      <w:r w:rsidR="003D71EE">
        <w:rPr>
          <w:rFonts w:ascii="Arial" w:eastAsia="Arial" w:hAnsi="Arial" w:cs="Arial"/>
          <w:sz w:val="20"/>
          <w:szCs w:val="20"/>
        </w:rPr>
        <w:t>c</w:t>
      </w:r>
      <w:r w:rsidRPr="00062B15">
        <w:rPr>
          <w:rFonts w:ascii="Arial" w:eastAsia="Arial" w:hAnsi="Arial" w:cs="Arial"/>
          <w:sz w:val="20"/>
          <w:szCs w:val="20"/>
        </w:rPr>
        <w:t xml:space="preserve">oncordato </w:t>
      </w:r>
      <w:r w:rsidR="003D71EE">
        <w:rPr>
          <w:rFonts w:ascii="Arial" w:eastAsia="Arial" w:hAnsi="Arial" w:cs="Arial"/>
          <w:sz w:val="20"/>
          <w:szCs w:val="20"/>
        </w:rPr>
        <w:t>p</w:t>
      </w:r>
      <w:r w:rsidRPr="00062B15">
        <w:rPr>
          <w:rFonts w:ascii="Arial" w:eastAsia="Arial" w:hAnsi="Arial" w:cs="Arial"/>
          <w:sz w:val="20"/>
          <w:szCs w:val="20"/>
        </w:rPr>
        <w:t xml:space="preserve">reventivo </w:t>
      </w:r>
      <w:r w:rsidR="003D71EE">
        <w:rPr>
          <w:rFonts w:ascii="Arial" w:eastAsia="Arial" w:hAnsi="Arial" w:cs="Arial"/>
          <w:sz w:val="20"/>
          <w:szCs w:val="20"/>
        </w:rPr>
        <w:t>b</w:t>
      </w:r>
      <w:r w:rsidRPr="00062B15">
        <w:rPr>
          <w:rFonts w:ascii="Arial" w:eastAsia="Arial" w:hAnsi="Arial" w:cs="Arial"/>
          <w:sz w:val="20"/>
          <w:szCs w:val="20"/>
        </w:rPr>
        <w:t>iennale (CPB).</w:t>
      </w:r>
    </w:p>
    <w:p w14:paraId="23612F82" w14:textId="77777777" w:rsidR="004B5DEB" w:rsidRPr="00062B15" w:rsidRDefault="004B5DEB" w:rsidP="00062B15">
      <w:pPr>
        <w:shd w:val="clear" w:color="auto" w:fill="FFFFFF"/>
        <w:spacing w:line="300" w:lineRule="atLeast"/>
        <w:ind w:leftChars="0" w:left="2" w:hanging="2"/>
        <w:jc w:val="both"/>
        <w:rPr>
          <w:rFonts w:ascii="Arial" w:eastAsia="Arial" w:hAnsi="Arial" w:cs="Arial"/>
          <w:sz w:val="20"/>
          <w:szCs w:val="20"/>
        </w:rPr>
      </w:pPr>
      <w:r w:rsidRPr="00062B15">
        <w:rPr>
          <w:rFonts w:ascii="Arial" w:eastAsia="Arial" w:hAnsi="Arial" w:cs="Arial"/>
          <w:sz w:val="20"/>
          <w:szCs w:val="20"/>
        </w:rPr>
        <w:t xml:space="preserve">Le nuove misure, applicabili a partire dal biennio 2026/2027, introducono una serie di </w:t>
      </w:r>
      <w:r w:rsidRPr="003D71EE">
        <w:rPr>
          <w:rFonts w:ascii="Arial" w:eastAsia="Arial" w:hAnsi="Arial" w:cs="Arial"/>
          <w:b/>
          <w:bCs/>
          <w:sz w:val="20"/>
          <w:szCs w:val="20"/>
        </w:rPr>
        <w:t>premialità e semplificazioni</w:t>
      </w:r>
      <w:r w:rsidRPr="00062B15">
        <w:rPr>
          <w:rFonts w:ascii="Arial" w:eastAsia="Arial" w:hAnsi="Arial" w:cs="Arial"/>
          <w:sz w:val="20"/>
          <w:szCs w:val="20"/>
        </w:rPr>
        <w:t xml:space="preserve"> dirette ai contribuenti che decideranno di “rinnovare” il patto con il Fisco.</w:t>
      </w:r>
    </w:p>
    <w:p w14:paraId="31472CE1" w14:textId="77777777" w:rsidR="004B5DEB" w:rsidRPr="00062B15" w:rsidRDefault="004B5DEB" w:rsidP="00062B15">
      <w:pPr>
        <w:shd w:val="clear" w:color="auto" w:fill="FFFFFF"/>
        <w:spacing w:line="300" w:lineRule="atLeast"/>
        <w:ind w:leftChars="0" w:left="2" w:hanging="2"/>
        <w:jc w:val="both"/>
        <w:rPr>
          <w:rFonts w:ascii="Arial" w:eastAsia="Arial" w:hAnsi="Arial" w:cs="Arial"/>
          <w:i/>
          <w:color w:val="0F0F0F"/>
          <w:sz w:val="20"/>
          <w:szCs w:val="20"/>
        </w:rPr>
      </w:pPr>
    </w:p>
    <w:p w14:paraId="6E804558" w14:textId="77777777" w:rsidR="003D71EE" w:rsidRPr="00062B15" w:rsidRDefault="003D71EE" w:rsidP="003D71EE">
      <w:pPr>
        <w:shd w:val="clear" w:color="auto" w:fill="FFFFFF"/>
        <w:suppressAutoHyphens w:val="0"/>
        <w:overflowPunct w:val="0"/>
        <w:autoSpaceDE w:val="0"/>
        <w:autoSpaceDN w:val="0"/>
        <w:adjustRightInd w:val="0"/>
        <w:spacing w:line="300" w:lineRule="atLeast"/>
        <w:ind w:leftChars="0" w:left="0" w:firstLineChars="0" w:hanging="2"/>
        <w:jc w:val="both"/>
        <w:textAlignment w:val="baseline"/>
        <w:outlineLvl w:val="9"/>
        <w:rPr>
          <w:rFonts w:ascii="Arial" w:hAnsi="Arial" w:cs="Arial"/>
          <w:i/>
          <w:color w:val="0F0F0F"/>
          <w:position w:val="0"/>
          <w:sz w:val="20"/>
          <w:szCs w:val="20"/>
        </w:rPr>
      </w:pPr>
      <w:r w:rsidRPr="00062B15">
        <w:rPr>
          <w:rFonts w:ascii="Arial" w:hAnsi="Arial" w:cs="Arial"/>
          <w:i/>
          <w:color w:val="0F0F0F"/>
          <w:position w:val="0"/>
          <w:sz w:val="20"/>
          <w:szCs w:val="20"/>
        </w:rPr>
        <w:t>Vedi l’Approfondimento</w:t>
      </w:r>
    </w:p>
    <w:p w14:paraId="1D5430F0" w14:textId="77777777" w:rsidR="00792D9F" w:rsidRPr="00062B15" w:rsidRDefault="00792D9F" w:rsidP="00062B15">
      <w:pPr>
        <w:pBdr>
          <w:top w:val="nil"/>
          <w:left w:val="nil"/>
          <w:bottom w:val="nil"/>
          <w:right w:val="nil"/>
          <w:between w:val="nil"/>
        </w:pBdr>
        <w:spacing w:line="300" w:lineRule="atLeast"/>
        <w:ind w:leftChars="0" w:left="2" w:right="-30" w:hanging="2"/>
        <w:jc w:val="both"/>
        <w:rPr>
          <w:rFonts w:ascii="Arial" w:eastAsia="Arial" w:hAnsi="Arial" w:cs="Arial"/>
          <w:color w:val="000000"/>
          <w:sz w:val="20"/>
          <w:szCs w:val="20"/>
        </w:rPr>
      </w:pPr>
    </w:p>
    <w:p w14:paraId="41E62095" w14:textId="77777777" w:rsidR="00792D9F" w:rsidRPr="00062B15" w:rsidRDefault="00792D9F" w:rsidP="00062B15">
      <w:pPr>
        <w:pBdr>
          <w:top w:val="nil"/>
          <w:left w:val="nil"/>
          <w:bottom w:val="nil"/>
          <w:right w:val="nil"/>
          <w:between w:val="nil"/>
        </w:pBdr>
        <w:spacing w:line="300" w:lineRule="atLeast"/>
        <w:ind w:leftChars="0" w:left="2" w:right="-30" w:hanging="2"/>
        <w:jc w:val="both"/>
        <w:rPr>
          <w:rFonts w:ascii="Arial" w:eastAsia="Arial" w:hAnsi="Arial" w:cs="Arial"/>
          <w:color w:val="000000"/>
          <w:sz w:val="20"/>
          <w:szCs w:val="20"/>
        </w:rPr>
      </w:pPr>
    </w:p>
    <w:p w14:paraId="6CCFB6E0" w14:textId="51E44957" w:rsidR="003D71EE" w:rsidRPr="003D71EE" w:rsidRDefault="003D71EE" w:rsidP="003D71EE">
      <w:pPr>
        <w:shd w:val="clear" w:color="auto" w:fill="FFFFFF"/>
        <w:spacing w:line="300" w:lineRule="atLeast"/>
        <w:ind w:left="0" w:hanging="2"/>
        <w:jc w:val="both"/>
        <w:rPr>
          <w:rFonts w:ascii="Calibri" w:eastAsia="Aptos" w:hAnsi="Calibri" w:cs="Arial"/>
          <w:color w:val="0F0F0F"/>
          <w:kern w:val="2"/>
          <w:sz w:val="22"/>
          <w:szCs w:val="22"/>
          <w:lang w:eastAsia="en-US"/>
        </w:rPr>
      </w:pPr>
      <w:r w:rsidRPr="003D71EE">
        <w:rPr>
          <w:rFonts w:ascii="Calibri" w:eastAsia="Aptos" w:hAnsi="Calibri" w:cs="Arial"/>
          <w:color w:val="0F0F0F"/>
          <w:kern w:val="2"/>
          <w:sz w:val="22"/>
          <w:szCs w:val="22"/>
          <w:lang w:eastAsia="en-US"/>
        </w:rPr>
        <w:t>IVA</w:t>
      </w:r>
    </w:p>
    <w:p w14:paraId="0BBAE1B7" w14:textId="77777777" w:rsidR="00C91C8E" w:rsidRPr="003D71EE" w:rsidRDefault="00C91C8E" w:rsidP="003D71EE">
      <w:pPr>
        <w:pBdr>
          <w:top w:val="nil"/>
          <w:left w:val="nil"/>
          <w:bottom w:val="nil"/>
          <w:right w:val="nil"/>
          <w:between w:val="nil"/>
        </w:pBdr>
        <w:spacing w:line="300" w:lineRule="atLeast"/>
        <w:ind w:left="0" w:hanging="2"/>
        <w:jc w:val="both"/>
        <w:rPr>
          <w:rFonts w:ascii="Arial" w:eastAsia="Arial" w:hAnsi="Arial" w:cs="Arial"/>
          <w:b/>
          <w:bCs/>
          <w:sz w:val="20"/>
          <w:szCs w:val="20"/>
        </w:rPr>
      </w:pPr>
      <w:r w:rsidRPr="003D71EE">
        <w:rPr>
          <w:rFonts w:ascii="Arial" w:eastAsia="Arial" w:hAnsi="Arial" w:cs="Arial"/>
          <w:b/>
          <w:bCs/>
          <w:sz w:val="20"/>
          <w:szCs w:val="20"/>
        </w:rPr>
        <w:t>Novità IVA: ampliati i termini per la detrazione</w:t>
      </w:r>
    </w:p>
    <w:p w14:paraId="43650328" w14:textId="3216A2B3" w:rsidR="003D71EE" w:rsidRPr="003D71EE" w:rsidRDefault="003D71EE" w:rsidP="003D71EE">
      <w:pPr>
        <w:shd w:val="clear" w:color="auto" w:fill="FFFFFF"/>
        <w:spacing w:line="300" w:lineRule="atLeast"/>
        <w:ind w:leftChars="0" w:left="2" w:hanging="2"/>
        <w:jc w:val="both"/>
        <w:rPr>
          <w:rFonts w:ascii="Arial" w:eastAsia="Arial" w:hAnsi="Arial" w:cs="Arial"/>
          <w:i/>
          <w:iCs/>
          <w:sz w:val="20"/>
          <w:szCs w:val="20"/>
          <w:lang w:val="en-US"/>
        </w:rPr>
      </w:pPr>
      <w:proofErr w:type="spellStart"/>
      <w:r w:rsidRPr="003D71EE">
        <w:rPr>
          <w:rFonts w:ascii="Arial" w:eastAsia="Arial" w:hAnsi="Arial" w:cs="Arial"/>
          <w:i/>
          <w:iCs/>
          <w:sz w:val="20"/>
          <w:szCs w:val="20"/>
          <w:lang w:val="en-US"/>
        </w:rPr>
        <w:t>D.Lgs</w:t>
      </w:r>
      <w:proofErr w:type="spellEnd"/>
      <w:r w:rsidRPr="003D71EE">
        <w:rPr>
          <w:rFonts w:ascii="Arial" w:eastAsia="Arial" w:hAnsi="Arial" w:cs="Arial"/>
          <w:i/>
          <w:iCs/>
          <w:sz w:val="20"/>
          <w:szCs w:val="20"/>
          <w:lang w:val="en-US"/>
        </w:rPr>
        <w:t xml:space="preserve">. 7 </w:t>
      </w:r>
      <w:proofErr w:type="spellStart"/>
      <w:r w:rsidRPr="003D71EE">
        <w:rPr>
          <w:rFonts w:ascii="Arial" w:eastAsia="Arial" w:hAnsi="Arial" w:cs="Arial"/>
          <w:i/>
          <w:iCs/>
          <w:sz w:val="20"/>
          <w:szCs w:val="20"/>
          <w:lang w:val="en-US"/>
        </w:rPr>
        <w:t>agosto</w:t>
      </w:r>
      <w:proofErr w:type="spellEnd"/>
      <w:r w:rsidRPr="003D71EE">
        <w:rPr>
          <w:rFonts w:ascii="Arial" w:eastAsia="Arial" w:hAnsi="Arial" w:cs="Arial"/>
          <w:i/>
          <w:iCs/>
          <w:sz w:val="20"/>
          <w:szCs w:val="20"/>
          <w:lang w:val="en-US"/>
        </w:rPr>
        <w:t xml:space="preserve"> 2026, n. 148, art. 12</w:t>
      </w:r>
    </w:p>
    <w:p w14:paraId="6061FA8A" w14:textId="30095D7A" w:rsidR="00C91C8E" w:rsidRPr="003D71EE" w:rsidRDefault="00C91C8E" w:rsidP="003D71EE">
      <w:pPr>
        <w:pBdr>
          <w:top w:val="nil"/>
          <w:left w:val="nil"/>
          <w:bottom w:val="nil"/>
          <w:right w:val="nil"/>
          <w:between w:val="nil"/>
        </w:pBdr>
        <w:spacing w:line="300" w:lineRule="atLeast"/>
        <w:ind w:left="0" w:hanging="2"/>
        <w:jc w:val="both"/>
        <w:rPr>
          <w:rFonts w:ascii="Arial" w:eastAsia="Arial" w:hAnsi="Arial" w:cs="Arial"/>
          <w:sz w:val="20"/>
          <w:szCs w:val="20"/>
        </w:rPr>
      </w:pPr>
      <w:r w:rsidRPr="003D71EE">
        <w:rPr>
          <w:rFonts w:ascii="Arial" w:eastAsia="Arial" w:hAnsi="Arial" w:cs="Arial"/>
          <w:sz w:val="20"/>
          <w:szCs w:val="20"/>
        </w:rPr>
        <w:t>l recente decreto correttivo Omnibus (</w:t>
      </w:r>
      <w:proofErr w:type="spellStart"/>
      <w:r w:rsidRPr="003D71EE">
        <w:rPr>
          <w:rFonts w:ascii="Arial" w:eastAsia="Arial" w:hAnsi="Arial" w:cs="Arial"/>
          <w:sz w:val="20"/>
          <w:szCs w:val="20"/>
        </w:rPr>
        <w:t>D.Lgs.</w:t>
      </w:r>
      <w:proofErr w:type="spellEnd"/>
      <w:r w:rsidRPr="003D71EE">
        <w:rPr>
          <w:rFonts w:ascii="Arial" w:eastAsia="Arial" w:hAnsi="Arial" w:cs="Arial"/>
          <w:sz w:val="20"/>
          <w:szCs w:val="20"/>
        </w:rPr>
        <w:t xml:space="preserve"> 7 agosto 2026, n. 148) ha introdotto significative modifiche alla disciplina dell’imposta sul valore aggiunto, con particolare attenzione al diritto alla detrazione. La disposizione interviene direttamente sugli art</w:t>
      </w:r>
      <w:r w:rsidR="003D71EE">
        <w:rPr>
          <w:rFonts w:ascii="Arial" w:eastAsia="Arial" w:hAnsi="Arial" w:cs="Arial"/>
          <w:sz w:val="20"/>
          <w:szCs w:val="20"/>
        </w:rPr>
        <w:t xml:space="preserve">t. </w:t>
      </w:r>
      <w:r w:rsidRPr="003D71EE">
        <w:rPr>
          <w:rFonts w:ascii="Arial" w:eastAsia="Arial" w:hAnsi="Arial" w:cs="Arial"/>
          <w:sz w:val="20"/>
          <w:szCs w:val="20"/>
        </w:rPr>
        <w:t>19 e 25 del D.P.R. n. 633/1972, ampliando considerevolmente il periodo temporale entro il quale i contribuenti possono esercitare il diritto alla detrazione dell’imposta assolta sugli acquisti di beni e servizi.</w:t>
      </w:r>
    </w:p>
    <w:p w14:paraId="29D57134" w14:textId="77777777" w:rsidR="00C91C8E" w:rsidRPr="003D71EE" w:rsidRDefault="00C91C8E" w:rsidP="003D71EE">
      <w:pPr>
        <w:pBdr>
          <w:top w:val="nil"/>
          <w:left w:val="nil"/>
          <w:bottom w:val="nil"/>
          <w:right w:val="nil"/>
          <w:between w:val="nil"/>
        </w:pBdr>
        <w:spacing w:line="300" w:lineRule="atLeast"/>
        <w:ind w:left="0" w:hanging="2"/>
        <w:jc w:val="both"/>
        <w:rPr>
          <w:rFonts w:ascii="Arial" w:eastAsia="Arial" w:hAnsi="Arial" w:cs="Arial"/>
          <w:sz w:val="20"/>
          <w:szCs w:val="20"/>
        </w:rPr>
      </w:pPr>
      <w:r w:rsidRPr="003D71EE">
        <w:rPr>
          <w:rFonts w:ascii="Arial" w:eastAsia="Arial" w:hAnsi="Arial" w:cs="Arial"/>
          <w:sz w:val="20"/>
          <w:szCs w:val="20"/>
        </w:rPr>
        <w:lastRenderedPageBreak/>
        <w:t xml:space="preserve">Questa modifica normativa rappresenta un importante passo verso la semplificazione e la tutela del contribuente, armonizzando le tempistiche di detraibilità con le dinamiche operative delle imprese. Il nuovo impianto normativo, operativo a partire dal 2026, permette infatti di esercitare la </w:t>
      </w:r>
      <w:r w:rsidRPr="003D71EE">
        <w:rPr>
          <w:rFonts w:ascii="Arial" w:eastAsia="Arial" w:hAnsi="Arial" w:cs="Arial"/>
          <w:b/>
          <w:bCs/>
          <w:sz w:val="20"/>
          <w:szCs w:val="20"/>
        </w:rPr>
        <w:t>detrazione, al più tardi, in occasione della presentazione della dichiarazione IVA relativa al secondo anno successivo a quello in cui il diritto è sorto</w:t>
      </w:r>
      <w:r w:rsidRPr="003D71EE">
        <w:rPr>
          <w:rFonts w:ascii="Arial" w:eastAsia="Arial" w:hAnsi="Arial" w:cs="Arial"/>
          <w:sz w:val="20"/>
          <w:szCs w:val="20"/>
        </w:rPr>
        <w:t>. Tale estensione supera le rigidità precedenti, offrendo agli operatori economici una maggiore flessibilità nella gestione degli adempimenti contabili e nella regolarizzazione di eventuali omissioni documentali o formali.</w:t>
      </w:r>
    </w:p>
    <w:p w14:paraId="7C648F09" w14:textId="77777777" w:rsidR="00C91C8E" w:rsidRPr="003D71EE" w:rsidRDefault="00C91C8E" w:rsidP="003D71EE">
      <w:pPr>
        <w:pBdr>
          <w:top w:val="nil"/>
          <w:left w:val="nil"/>
          <w:bottom w:val="nil"/>
          <w:right w:val="nil"/>
          <w:between w:val="nil"/>
        </w:pBdr>
        <w:spacing w:line="300" w:lineRule="atLeast"/>
        <w:ind w:left="0" w:hanging="2"/>
        <w:jc w:val="both"/>
        <w:rPr>
          <w:rFonts w:ascii="Arial" w:eastAsia="Arial" w:hAnsi="Arial" w:cs="Arial"/>
          <w:sz w:val="20"/>
          <w:szCs w:val="20"/>
        </w:rPr>
      </w:pPr>
      <w:r w:rsidRPr="003D71EE">
        <w:rPr>
          <w:rFonts w:ascii="Arial" w:eastAsia="Arial" w:hAnsi="Arial" w:cs="Arial"/>
          <w:sz w:val="20"/>
          <w:szCs w:val="20"/>
        </w:rPr>
        <w:t>L’intervento si inserisce nel più ampio quadro di revisione del sistema tributario nazionale, mirato a ridurre il contenzioso fiscale derivante da mere irregolarità formali o da ritardi nella ricezione della documentazione di acquisto. È fondamentale che i soggetti passivi d’imposta valutino attentamente l’impatto di tale novità sulla propria contabilità, verificando la corretta applicazione dei nuovi termini nelle dichiarazioni correnti. La norma, nel concedere questo margine temporale più ampio, richiede comunque una tenuta rigorosa dei registri contabili, affinché l’esercizio del diritto alla detrazione avvenga sempre nel pieno rispetto delle condizioni sostanziali previste dal legislatore.</w:t>
      </w:r>
    </w:p>
    <w:p w14:paraId="5AB27B4D" w14:textId="2BAB2973" w:rsidR="00792D9F" w:rsidRPr="003D71EE" w:rsidRDefault="00792D9F" w:rsidP="003D71EE">
      <w:pPr>
        <w:pBdr>
          <w:top w:val="nil"/>
          <w:left w:val="nil"/>
          <w:bottom w:val="nil"/>
          <w:right w:val="nil"/>
          <w:between w:val="nil"/>
        </w:pBdr>
        <w:spacing w:line="300" w:lineRule="atLeast"/>
        <w:ind w:left="0" w:hanging="2"/>
        <w:jc w:val="both"/>
        <w:rPr>
          <w:rFonts w:ascii="Arial" w:eastAsia="Arial" w:hAnsi="Arial" w:cs="Arial"/>
          <w:color w:val="0F0F0F"/>
          <w:sz w:val="20"/>
          <w:szCs w:val="20"/>
        </w:rPr>
      </w:pPr>
    </w:p>
    <w:p w14:paraId="189F5EA6" w14:textId="77777777" w:rsidR="00792D9F" w:rsidRPr="003D71EE" w:rsidRDefault="00792D9F" w:rsidP="003D71EE">
      <w:pPr>
        <w:pBdr>
          <w:top w:val="nil"/>
          <w:left w:val="nil"/>
          <w:bottom w:val="nil"/>
          <w:right w:val="nil"/>
          <w:between w:val="nil"/>
        </w:pBdr>
        <w:spacing w:line="300" w:lineRule="atLeast"/>
        <w:ind w:leftChars="0" w:left="0" w:right="-30" w:firstLineChars="0" w:firstLine="0"/>
        <w:jc w:val="both"/>
        <w:rPr>
          <w:rFonts w:ascii="Arial" w:eastAsia="Arial" w:hAnsi="Arial" w:cs="Arial"/>
          <w:color w:val="000000"/>
          <w:sz w:val="20"/>
          <w:szCs w:val="20"/>
        </w:rPr>
      </w:pPr>
    </w:p>
    <w:p w14:paraId="1D41FDB8" w14:textId="6CE70B03" w:rsidR="003D71EE" w:rsidRPr="003D71EE" w:rsidRDefault="003D71EE" w:rsidP="003D71EE">
      <w:pPr>
        <w:shd w:val="clear" w:color="auto" w:fill="FFFFFF"/>
        <w:spacing w:line="300" w:lineRule="atLeast"/>
        <w:ind w:left="0" w:hanging="2"/>
        <w:jc w:val="both"/>
        <w:rPr>
          <w:rFonts w:ascii="Calibri" w:eastAsia="Aptos" w:hAnsi="Calibri" w:cs="Arial"/>
          <w:color w:val="0F0F0F"/>
          <w:kern w:val="2"/>
          <w:sz w:val="22"/>
          <w:szCs w:val="22"/>
          <w:lang w:eastAsia="en-US"/>
        </w:rPr>
      </w:pPr>
      <w:r w:rsidRPr="003D71EE">
        <w:rPr>
          <w:rFonts w:ascii="Calibri" w:eastAsia="Aptos" w:hAnsi="Calibri" w:cs="Arial"/>
          <w:color w:val="0F0F0F"/>
          <w:kern w:val="2"/>
          <w:sz w:val="22"/>
          <w:szCs w:val="22"/>
          <w:lang w:eastAsia="en-US"/>
        </w:rPr>
        <w:t>IVA</w:t>
      </w:r>
    </w:p>
    <w:p w14:paraId="5A8F85A7" w14:textId="7253D893" w:rsidR="00C91C8E" w:rsidRPr="003D71EE" w:rsidRDefault="00C91C8E" w:rsidP="003D71EE">
      <w:pPr>
        <w:spacing w:line="300" w:lineRule="atLeast"/>
        <w:ind w:left="0" w:hanging="2"/>
        <w:rPr>
          <w:rFonts w:ascii="Arial" w:eastAsia="Arial" w:hAnsi="Arial" w:cs="Arial"/>
          <w:b/>
          <w:bCs/>
          <w:sz w:val="20"/>
          <w:szCs w:val="20"/>
        </w:rPr>
      </w:pPr>
      <w:r w:rsidRPr="003D71EE">
        <w:rPr>
          <w:rFonts w:ascii="Arial" w:eastAsia="Arial" w:hAnsi="Arial" w:cs="Arial"/>
          <w:b/>
          <w:bCs/>
          <w:sz w:val="20"/>
          <w:szCs w:val="20"/>
        </w:rPr>
        <w:t>Liquidazione automatizzata dell’IVA: procedure per dichiarazioni omesse</w:t>
      </w:r>
    </w:p>
    <w:p w14:paraId="1E516AFC" w14:textId="0E53D468" w:rsidR="003D71EE" w:rsidRPr="003D71EE" w:rsidRDefault="003D71EE" w:rsidP="003D71EE">
      <w:pPr>
        <w:pBdr>
          <w:top w:val="nil"/>
          <w:left w:val="nil"/>
          <w:bottom w:val="nil"/>
          <w:right w:val="nil"/>
          <w:between w:val="nil"/>
        </w:pBdr>
        <w:spacing w:line="300" w:lineRule="atLeast"/>
        <w:ind w:left="0" w:right="-30" w:hanging="2"/>
        <w:jc w:val="both"/>
        <w:rPr>
          <w:rFonts w:ascii="Arial" w:eastAsia="Arial" w:hAnsi="Arial" w:cs="Arial"/>
          <w:i/>
          <w:iCs/>
          <w:sz w:val="20"/>
          <w:szCs w:val="20"/>
        </w:rPr>
      </w:pPr>
      <w:r w:rsidRPr="003D71EE">
        <w:rPr>
          <w:rFonts w:ascii="Arial" w:eastAsia="Arial" w:hAnsi="Arial" w:cs="Arial"/>
          <w:i/>
          <w:iCs/>
          <w:sz w:val="20"/>
          <w:szCs w:val="20"/>
        </w:rPr>
        <w:t>Agenzia delle Entrate, Provvedimento 28 agosto 2026, n. 239129</w:t>
      </w:r>
    </w:p>
    <w:p w14:paraId="6F32DD89" w14:textId="3B649FC0" w:rsidR="00C91C8E" w:rsidRPr="003D71EE" w:rsidRDefault="00C91C8E" w:rsidP="003D71EE">
      <w:pPr>
        <w:pBdr>
          <w:top w:val="nil"/>
          <w:left w:val="nil"/>
          <w:bottom w:val="nil"/>
          <w:right w:val="nil"/>
          <w:between w:val="nil"/>
        </w:pBdr>
        <w:spacing w:line="300" w:lineRule="atLeast"/>
        <w:ind w:left="0" w:right="-30" w:hanging="2"/>
        <w:jc w:val="both"/>
        <w:rPr>
          <w:rFonts w:ascii="Arial" w:eastAsia="Arial" w:hAnsi="Arial" w:cs="Arial"/>
          <w:sz w:val="20"/>
          <w:szCs w:val="20"/>
        </w:rPr>
      </w:pPr>
      <w:r w:rsidRPr="003D71EE">
        <w:rPr>
          <w:rFonts w:ascii="Arial" w:eastAsia="Arial" w:hAnsi="Arial" w:cs="Arial"/>
          <w:sz w:val="20"/>
          <w:szCs w:val="20"/>
        </w:rPr>
        <w:t>Con il provvedimento del 28 agosto 2026, n. 239129, l’Agenzia delle Entrate ha definito le disposizioni attuative per la liquidazione dell’imposta sul valore aggiunto in caso di omessa presentazione della dichiarazione annuale, introducendo procedure automatizzate basate sull’incrocio di banche dati. Tale intervento mira a efficientare l’attività di accertamento, valorizzando le informazioni già in possesso dell’Amministrazione finanziaria.</w:t>
      </w:r>
    </w:p>
    <w:p w14:paraId="0D69BB05" w14:textId="77777777" w:rsidR="00C91C8E" w:rsidRPr="003D71EE" w:rsidRDefault="00C91C8E" w:rsidP="003D71EE">
      <w:pPr>
        <w:pBdr>
          <w:top w:val="nil"/>
          <w:left w:val="nil"/>
          <w:bottom w:val="nil"/>
          <w:right w:val="nil"/>
          <w:between w:val="nil"/>
        </w:pBdr>
        <w:spacing w:line="300" w:lineRule="atLeast"/>
        <w:ind w:left="0" w:right="-30" w:hanging="2"/>
        <w:jc w:val="both"/>
        <w:rPr>
          <w:rFonts w:ascii="Arial" w:eastAsia="Arial" w:hAnsi="Arial" w:cs="Arial"/>
          <w:sz w:val="20"/>
          <w:szCs w:val="20"/>
        </w:rPr>
      </w:pPr>
      <w:r w:rsidRPr="003D71EE">
        <w:rPr>
          <w:rFonts w:ascii="Arial" w:eastAsia="Arial" w:hAnsi="Arial" w:cs="Arial"/>
          <w:sz w:val="20"/>
          <w:szCs w:val="20"/>
        </w:rPr>
        <w:t xml:space="preserve">La procedura consente all’Agenzia di </w:t>
      </w:r>
      <w:r w:rsidRPr="006D68E4">
        <w:rPr>
          <w:rFonts w:ascii="Arial" w:eastAsia="Arial" w:hAnsi="Arial" w:cs="Arial"/>
          <w:b/>
          <w:bCs/>
          <w:sz w:val="20"/>
          <w:szCs w:val="20"/>
        </w:rPr>
        <w:t>determinare l’IVA dovuta utilizzando le fatture elettroniche emesse e ricevute, i corrispettivi telematici, le comunicazioni periodiche (LIPE) e i versamenti già effettuati dal contribuente</w:t>
      </w:r>
      <w:r w:rsidRPr="003D71EE">
        <w:rPr>
          <w:rFonts w:ascii="Arial" w:eastAsia="Arial" w:hAnsi="Arial" w:cs="Arial"/>
          <w:sz w:val="20"/>
          <w:szCs w:val="20"/>
        </w:rPr>
        <w:t>. È importante notare che, nel calcolo dell’imposta, non viene considerato l’eventuale credito d’imposta risultante dalla dichiarazione IVA dell’anno precedente, focalizzandosi esclusivamente sui flussi dell’anno oggetto di controllo.</w:t>
      </w:r>
    </w:p>
    <w:p w14:paraId="2C387806" w14:textId="77777777" w:rsidR="00C91C8E" w:rsidRPr="003D71EE" w:rsidRDefault="00C91C8E" w:rsidP="003D71EE">
      <w:pPr>
        <w:pBdr>
          <w:top w:val="nil"/>
          <w:left w:val="nil"/>
          <w:bottom w:val="nil"/>
          <w:right w:val="nil"/>
          <w:between w:val="nil"/>
        </w:pBdr>
        <w:spacing w:line="300" w:lineRule="atLeast"/>
        <w:ind w:left="0" w:right="-30" w:hanging="2"/>
        <w:jc w:val="both"/>
        <w:rPr>
          <w:rFonts w:ascii="Arial" w:eastAsia="Arial" w:hAnsi="Arial" w:cs="Arial"/>
          <w:sz w:val="20"/>
          <w:szCs w:val="20"/>
        </w:rPr>
      </w:pPr>
      <w:r w:rsidRPr="003D71EE">
        <w:rPr>
          <w:rFonts w:ascii="Arial" w:eastAsia="Arial" w:hAnsi="Arial" w:cs="Arial"/>
          <w:sz w:val="20"/>
          <w:szCs w:val="20"/>
        </w:rPr>
        <w:t xml:space="preserve">Il contribuente riceverà una </w:t>
      </w:r>
      <w:r w:rsidRPr="006D68E4">
        <w:rPr>
          <w:rFonts w:ascii="Arial" w:eastAsia="Arial" w:hAnsi="Arial" w:cs="Arial"/>
          <w:b/>
          <w:bCs/>
          <w:sz w:val="20"/>
          <w:szCs w:val="20"/>
        </w:rPr>
        <w:t>comunicazione via PEC contenente le risultanze del controllo</w:t>
      </w:r>
      <w:r w:rsidRPr="003D71EE">
        <w:rPr>
          <w:rFonts w:ascii="Arial" w:eastAsia="Arial" w:hAnsi="Arial" w:cs="Arial"/>
          <w:sz w:val="20"/>
          <w:szCs w:val="20"/>
        </w:rPr>
        <w:t>. A seguito del ricevimento, è concesso un termine di 60 giorni per segnalare eventuali errori, fornire chiarimenti o procedere al pagamento delle somme dovute. Se il pagamento viene effettuato entro tale termine, la sanzione per l’omessa dichiarazione è ridotta a un terzo, senza possibilità di avvalersi della rateizzazione o della compensazione in F24. In caso di mancato adempimento entro i termini previsti, le somme verranno iscritte direttamente a ruolo a titolo definitivo. Questa modalità operativa non pregiudica, in ogni caso, la possibilità per l’Agenzia di attivare l’ordinaria attività di accertamento per ulteriori verifiche.</w:t>
      </w:r>
    </w:p>
    <w:p w14:paraId="33517962" w14:textId="77777777" w:rsidR="00C91C8E" w:rsidRPr="003D71EE" w:rsidRDefault="00C91C8E" w:rsidP="003D71EE">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2C257B9F" w14:textId="77777777" w:rsidR="00792D9F" w:rsidRPr="003D71EE" w:rsidRDefault="00792D9F" w:rsidP="003D71EE">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368B40E4" w14:textId="793C1EE8" w:rsidR="006D68E4" w:rsidRPr="006D68E4" w:rsidRDefault="006D68E4" w:rsidP="006D68E4">
      <w:pPr>
        <w:shd w:val="clear" w:color="auto" w:fill="FFFFFF"/>
        <w:spacing w:line="300" w:lineRule="atLeast"/>
        <w:ind w:left="0" w:hanging="2"/>
        <w:jc w:val="both"/>
        <w:rPr>
          <w:rFonts w:ascii="Calibri" w:eastAsia="Aptos" w:hAnsi="Calibri" w:cs="Arial"/>
          <w:color w:val="0F0F0F"/>
          <w:kern w:val="2"/>
          <w:sz w:val="22"/>
          <w:szCs w:val="22"/>
          <w:lang w:eastAsia="en-US"/>
        </w:rPr>
      </w:pPr>
      <w:r w:rsidRPr="006D68E4">
        <w:rPr>
          <w:rFonts w:ascii="Calibri" w:eastAsia="Aptos" w:hAnsi="Calibri" w:cs="Arial"/>
          <w:color w:val="0F0F0F"/>
          <w:kern w:val="2"/>
          <w:sz w:val="22"/>
          <w:szCs w:val="22"/>
          <w:lang w:eastAsia="en-US"/>
        </w:rPr>
        <w:t>IVA</w:t>
      </w:r>
    </w:p>
    <w:p w14:paraId="77B72946" w14:textId="5229A512" w:rsidR="00C91C8E" w:rsidRPr="006D68E4" w:rsidRDefault="00C91C8E" w:rsidP="006D68E4">
      <w:pPr>
        <w:spacing w:line="300" w:lineRule="atLeast"/>
        <w:ind w:left="0" w:hanging="2"/>
        <w:jc w:val="both"/>
        <w:rPr>
          <w:rFonts w:ascii="Arial" w:eastAsia="Arial" w:hAnsi="Arial" w:cs="Arial"/>
          <w:b/>
          <w:bCs/>
          <w:sz w:val="20"/>
          <w:szCs w:val="20"/>
        </w:rPr>
      </w:pPr>
      <w:r w:rsidRPr="006D68E4">
        <w:rPr>
          <w:rFonts w:ascii="Arial" w:eastAsia="Arial" w:hAnsi="Arial" w:cs="Arial"/>
          <w:b/>
          <w:bCs/>
          <w:sz w:val="20"/>
          <w:szCs w:val="20"/>
        </w:rPr>
        <w:t>Chiarita l’incompatibilità fiscale dal 2027 tra regime IOSS e forfetario</w:t>
      </w:r>
    </w:p>
    <w:p w14:paraId="6ED35A2A" w14:textId="77777777" w:rsidR="00C91C8E" w:rsidRPr="006D68E4" w:rsidRDefault="00C91C8E" w:rsidP="006D68E4">
      <w:pPr>
        <w:pBdr>
          <w:top w:val="nil"/>
          <w:left w:val="nil"/>
          <w:bottom w:val="nil"/>
          <w:right w:val="nil"/>
          <w:between w:val="nil"/>
        </w:pBdr>
        <w:spacing w:line="300" w:lineRule="atLeast"/>
        <w:ind w:left="0" w:hanging="2"/>
        <w:jc w:val="both"/>
        <w:rPr>
          <w:rFonts w:ascii="Arial" w:eastAsia="Arial" w:hAnsi="Arial" w:cs="Arial"/>
          <w:sz w:val="20"/>
          <w:szCs w:val="20"/>
        </w:rPr>
      </w:pPr>
      <w:r w:rsidRPr="006D68E4">
        <w:rPr>
          <w:rFonts w:ascii="Arial" w:eastAsia="Arial" w:hAnsi="Arial" w:cs="Arial"/>
          <w:sz w:val="20"/>
          <w:szCs w:val="20"/>
        </w:rPr>
        <w:t xml:space="preserve">Il quadro normativo relativo all’IVA nell’e-commerce subisce un ulteriore consolidamento in vista delle modifiche operative che entreranno in vigore il 1° gennaio 2027. Sulla scia del recepimento della direttiva 2025/516/UE (c.d. “Direttiva </w:t>
      </w:r>
      <w:proofErr w:type="spellStart"/>
      <w:r w:rsidRPr="006D68E4">
        <w:rPr>
          <w:rFonts w:ascii="Arial" w:eastAsia="Arial" w:hAnsi="Arial" w:cs="Arial"/>
          <w:sz w:val="20"/>
          <w:szCs w:val="20"/>
        </w:rPr>
        <w:t>ViDA</w:t>
      </w:r>
      <w:proofErr w:type="spellEnd"/>
      <w:r w:rsidRPr="006D68E4">
        <w:rPr>
          <w:rFonts w:ascii="Arial" w:eastAsia="Arial" w:hAnsi="Arial" w:cs="Arial"/>
          <w:sz w:val="20"/>
          <w:szCs w:val="20"/>
        </w:rPr>
        <w:t xml:space="preserve">”), emerge con chiarezza il principio di incompatibilità tra il regime dello sportello unico per le importazioni (IOSS) e il regime di franchigia per le piccole imprese. Le note esplicative </w:t>
      </w:r>
      <w:r w:rsidRPr="006D68E4">
        <w:rPr>
          <w:rFonts w:ascii="Arial" w:eastAsia="Arial" w:hAnsi="Arial" w:cs="Arial"/>
          <w:sz w:val="20"/>
          <w:szCs w:val="20"/>
        </w:rPr>
        <w:lastRenderedPageBreak/>
        <w:t>aggiornate e la prassi comunitaria mirano a prevenire distorsioni nell’applicazione dell’imposta, stabilendo un divieto di cumulo tra i due regimi semplificati.</w:t>
      </w:r>
    </w:p>
    <w:p w14:paraId="3D36EC27" w14:textId="300E8231" w:rsidR="00C91C8E" w:rsidRPr="006D68E4" w:rsidRDefault="00C91C8E" w:rsidP="006D68E4">
      <w:pPr>
        <w:pBdr>
          <w:top w:val="nil"/>
          <w:left w:val="nil"/>
          <w:bottom w:val="nil"/>
          <w:right w:val="nil"/>
          <w:between w:val="nil"/>
        </w:pBdr>
        <w:spacing w:line="300" w:lineRule="atLeast"/>
        <w:ind w:left="0" w:hanging="2"/>
        <w:jc w:val="both"/>
        <w:rPr>
          <w:rFonts w:ascii="Arial" w:eastAsia="Arial" w:hAnsi="Arial" w:cs="Arial"/>
          <w:sz w:val="20"/>
          <w:szCs w:val="20"/>
        </w:rPr>
      </w:pPr>
      <w:r w:rsidRPr="006D68E4">
        <w:rPr>
          <w:rFonts w:ascii="Arial" w:eastAsia="Arial" w:hAnsi="Arial" w:cs="Arial"/>
          <w:sz w:val="20"/>
          <w:szCs w:val="20"/>
        </w:rPr>
        <w:t xml:space="preserve">In termini pratici, </w:t>
      </w:r>
      <w:r w:rsidRPr="006D68E4">
        <w:rPr>
          <w:rFonts w:ascii="Arial" w:eastAsia="Arial" w:hAnsi="Arial" w:cs="Arial"/>
          <w:b/>
          <w:bCs/>
          <w:sz w:val="20"/>
          <w:szCs w:val="20"/>
        </w:rPr>
        <w:t>il soggetto passivo che abbia optato per il regime delle piccole imprese non potrà avvalersi contestualmente dell’IOSS</w:t>
      </w:r>
      <w:r w:rsidRPr="006D68E4">
        <w:rPr>
          <w:rFonts w:ascii="Arial" w:eastAsia="Arial" w:hAnsi="Arial" w:cs="Arial"/>
          <w:sz w:val="20"/>
          <w:szCs w:val="20"/>
        </w:rPr>
        <w:t xml:space="preserve">, e viceversa. Sebbene tale orientamento trovasse già riscontro nelle linee guida del Comitato IVA, le recenti consultazioni sullo schema di recepimento della normativa comunitaria hanno definitivamente superato i precedenti dubbi interpretativi sollevati dalla prassi nazionale, sancendo in modo esplicito l’incompatibilità. Ciò include anche il </w:t>
      </w:r>
      <w:r w:rsidRPr="006D68E4">
        <w:rPr>
          <w:rFonts w:ascii="Arial" w:eastAsia="Arial" w:hAnsi="Arial" w:cs="Arial"/>
          <w:b/>
          <w:bCs/>
          <w:sz w:val="20"/>
          <w:szCs w:val="20"/>
        </w:rPr>
        <w:t>regime forfetario</w:t>
      </w:r>
      <w:r w:rsidRPr="006D68E4">
        <w:rPr>
          <w:rFonts w:ascii="Arial" w:eastAsia="Arial" w:hAnsi="Arial" w:cs="Arial"/>
          <w:sz w:val="20"/>
          <w:szCs w:val="20"/>
        </w:rPr>
        <w:t xml:space="preserve"> di cui alla </w:t>
      </w:r>
      <w:r w:rsidR="006D68E4">
        <w:rPr>
          <w:rFonts w:ascii="Arial" w:eastAsia="Arial" w:hAnsi="Arial" w:cs="Arial"/>
          <w:sz w:val="20"/>
          <w:szCs w:val="20"/>
        </w:rPr>
        <w:t>legge n.</w:t>
      </w:r>
      <w:r w:rsidRPr="006D68E4">
        <w:rPr>
          <w:rFonts w:ascii="Arial" w:eastAsia="Arial" w:hAnsi="Arial" w:cs="Arial"/>
          <w:sz w:val="20"/>
          <w:szCs w:val="20"/>
        </w:rPr>
        <w:t xml:space="preserve"> 190/2014, che risulta incompatibile con l’adesione all’IOSS.</w:t>
      </w:r>
    </w:p>
    <w:p w14:paraId="7F0E6769" w14:textId="77777777" w:rsidR="00C91C8E" w:rsidRPr="006D68E4" w:rsidRDefault="00C91C8E" w:rsidP="006D68E4">
      <w:pPr>
        <w:pBdr>
          <w:top w:val="nil"/>
          <w:left w:val="nil"/>
          <w:bottom w:val="nil"/>
          <w:right w:val="nil"/>
          <w:between w:val="nil"/>
        </w:pBdr>
        <w:spacing w:line="300" w:lineRule="atLeast"/>
        <w:ind w:left="0" w:hanging="2"/>
        <w:jc w:val="both"/>
        <w:rPr>
          <w:rFonts w:ascii="Arial" w:eastAsia="Arial" w:hAnsi="Arial" w:cs="Arial"/>
          <w:sz w:val="20"/>
          <w:szCs w:val="20"/>
        </w:rPr>
      </w:pPr>
      <w:r w:rsidRPr="006D68E4">
        <w:rPr>
          <w:rFonts w:ascii="Arial" w:eastAsia="Arial" w:hAnsi="Arial" w:cs="Arial"/>
          <w:sz w:val="20"/>
          <w:szCs w:val="20"/>
        </w:rPr>
        <w:t>La portata di tale restrizione è rilevante per le realtà imprenditoriali che operano nel commercio elettronico transfrontaliero. Gli operatori dovranno procedere a una pianificazione fiscale attenta, valutando la convenienza dell’uno o dell’altro regime in funzione del proprio modello di business e dei mercati di riferimento. L’adesione all’IOSS, pur semplificando gli adempimenti doganali e dichiarativi per le vendite a distanza, preclude l’accesso ai benefici fiscali dei regimi agevolati domestici. La corretta opzione richiede una valutazione strategica che tenga conto non solo della gestione operativa del commercio online, ma anche della compatibilità complessiva con la posizione IVA soggettiva.</w:t>
      </w:r>
    </w:p>
    <w:p w14:paraId="3886F850" w14:textId="77777777" w:rsidR="00792D9F" w:rsidRPr="006D68E4" w:rsidRDefault="00792D9F" w:rsidP="006D68E4">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2CF0F1E6" w14:textId="77777777" w:rsidR="00792D9F" w:rsidRPr="006D68E4" w:rsidRDefault="00792D9F" w:rsidP="006D68E4">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7802C087" w14:textId="23E19F03" w:rsidR="006D68E4" w:rsidRPr="006D68E4" w:rsidRDefault="006D68E4" w:rsidP="006D68E4">
      <w:pPr>
        <w:shd w:val="clear" w:color="auto" w:fill="FFFFFF"/>
        <w:spacing w:line="300" w:lineRule="atLeast"/>
        <w:ind w:left="0" w:hanging="2"/>
        <w:jc w:val="both"/>
        <w:rPr>
          <w:rFonts w:ascii="Calibri" w:eastAsia="Aptos" w:hAnsi="Calibri" w:cs="Arial"/>
          <w:color w:val="0F0F0F"/>
          <w:kern w:val="2"/>
          <w:sz w:val="22"/>
          <w:szCs w:val="22"/>
          <w:lang w:eastAsia="en-US"/>
        </w:rPr>
      </w:pPr>
      <w:r w:rsidRPr="006D68E4">
        <w:rPr>
          <w:rFonts w:ascii="Calibri" w:eastAsia="Aptos" w:hAnsi="Calibri" w:cs="Arial"/>
          <w:color w:val="0F0F0F"/>
          <w:kern w:val="2"/>
          <w:sz w:val="22"/>
          <w:szCs w:val="22"/>
          <w:lang w:eastAsia="en-US"/>
        </w:rPr>
        <w:t>AGEVOLAZIONI</w:t>
      </w:r>
    </w:p>
    <w:p w14:paraId="2EDA7FF9" w14:textId="77777777" w:rsidR="00C91C8E" w:rsidRPr="006D68E4" w:rsidRDefault="00C91C8E" w:rsidP="006D68E4">
      <w:pPr>
        <w:pBdr>
          <w:top w:val="nil"/>
          <w:left w:val="nil"/>
          <w:bottom w:val="nil"/>
          <w:right w:val="nil"/>
          <w:between w:val="nil"/>
        </w:pBdr>
        <w:shd w:val="clear" w:color="auto" w:fill="FFFFFF"/>
        <w:spacing w:line="300" w:lineRule="atLeast"/>
        <w:ind w:left="0" w:hanging="2"/>
        <w:jc w:val="both"/>
        <w:rPr>
          <w:rFonts w:ascii="Arial" w:eastAsia="Arial" w:hAnsi="Arial" w:cs="Arial"/>
          <w:b/>
          <w:bCs/>
          <w:sz w:val="20"/>
          <w:szCs w:val="20"/>
        </w:rPr>
      </w:pPr>
      <w:r w:rsidRPr="006D68E4">
        <w:rPr>
          <w:rFonts w:ascii="Arial" w:eastAsia="Arial" w:hAnsi="Arial" w:cs="Arial"/>
          <w:b/>
          <w:bCs/>
          <w:sz w:val="20"/>
          <w:szCs w:val="20"/>
        </w:rPr>
        <w:t>Credito d’imposta per il gasolio agricolo: istruzioni e scadenze per l’accesso</w:t>
      </w:r>
    </w:p>
    <w:p w14:paraId="420569A5" w14:textId="6CC443B3" w:rsidR="00082872" w:rsidRPr="00082872" w:rsidRDefault="00082872" w:rsidP="00082872">
      <w:pPr>
        <w:pBdr>
          <w:top w:val="nil"/>
          <w:left w:val="nil"/>
          <w:bottom w:val="nil"/>
          <w:right w:val="nil"/>
          <w:between w:val="nil"/>
        </w:pBdr>
        <w:tabs>
          <w:tab w:val="num" w:pos="720"/>
        </w:tabs>
        <w:spacing w:line="300" w:lineRule="atLeast"/>
        <w:ind w:left="0" w:hanging="2"/>
        <w:jc w:val="both"/>
        <w:rPr>
          <w:rFonts w:ascii="Arial" w:eastAsia="Arial" w:hAnsi="Arial" w:cs="Arial"/>
          <w:i/>
          <w:iCs/>
          <w:color w:val="0F0F0F"/>
          <w:sz w:val="20"/>
          <w:szCs w:val="20"/>
        </w:rPr>
      </w:pPr>
      <w:r w:rsidRPr="00082872">
        <w:rPr>
          <w:rFonts w:ascii="Arial" w:eastAsia="Arial" w:hAnsi="Arial" w:cs="Arial"/>
          <w:i/>
          <w:iCs/>
          <w:color w:val="0F0F0F"/>
          <w:sz w:val="20"/>
          <w:szCs w:val="20"/>
        </w:rPr>
        <w:t>Istruzioni Operative 5 agosto 2026, n. 72 prot. 65982</w:t>
      </w:r>
    </w:p>
    <w:p w14:paraId="1EADB1D0" w14:textId="3FD448C4" w:rsidR="00082872" w:rsidRPr="00082872" w:rsidRDefault="00C361CF" w:rsidP="006D68E4">
      <w:pPr>
        <w:pBdr>
          <w:top w:val="nil"/>
          <w:left w:val="nil"/>
          <w:bottom w:val="nil"/>
          <w:right w:val="nil"/>
          <w:between w:val="nil"/>
        </w:pBdr>
        <w:spacing w:line="300" w:lineRule="atLeast"/>
        <w:ind w:left="0" w:hanging="2"/>
        <w:jc w:val="both"/>
        <w:rPr>
          <w:rFonts w:ascii="Arial" w:eastAsia="Arial" w:hAnsi="Arial" w:cs="Arial"/>
          <w:i/>
          <w:iCs/>
          <w:color w:val="0F0F0F"/>
          <w:sz w:val="20"/>
          <w:szCs w:val="20"/>
        </w:rPr>
      </w:pPr>
      <w:r>
        <w:rPr>
          <w:rFonts w:ascii="Arial" w:eastAsia="Arial" w:hAnsi="Arial" w:cs="Arial"/>
          <w:i/>
          <w:iCs/>
          <w:color w:val="0F0F0F"/>
          <w:sz w:val="20"/>
          <w:szCs w:val="20"/>
        </w:rPr>
        <w:t>D.M. 24 luglio 2026</w:t>
      </w:r>
    </w:p>
    <w:p w14:paraId="1BFE6A6A" w14:textId="4D9B042E" w:rsidR="002E5BF5" w:rsidRPr="006D68E4" w:rsidRDefault="002E5BF5" w:rsidP="006D68E4">
      <w:pPr>
        <w:pBdr>
          <w:top w:val="nil"/>
          <w:left w:val="nil"/>
          <w:bottom w:val="nil"/>
          <w:right w:val="nil"/>
          <w:between w:val="nil"/>
        </w:pBdr>
        <w:spacing w:line="300" w:lineRule="atLeast"/>
        <w:ind w:left="0" w:hanging="2"/>
        <w:jc w:val="both"/>
        <w:rPr>
          <w:rFonts w:ascii="Arial" w:eastAsia="Arial" w:hAnsi="Arial" w:cs="Arial"/>
          <w:color w:val="0F0F0F"/>
          <w:sz w:val="20"/>
          <w:szCs w:val="20"/>
        </w:rPr>
      </w:pPr>
      <w:r w:rsidRPr="006D68E4">
        <w:rPr>
          <w:rFonts w:ascii="Arial" w:eastAsia="Arial" w:hAnsi="Arial" w:cs="Arial"/>
          <w:color w:val="0F0F0F"/>
          <w:sz w:val="20"/>
          <w:szCs w:val="20"/>
        </w:rPr>
        <w:t xml:space="preserve">Il MASAF ha reso operativo il credito d’imposta destinato alle imprese agricole per compensare i maggiori costi sostenuti per l’acquisto di gasolio e benzina, necessari per l’attività produttiva. Il provvedimento, definito </w:t>
      </w:r>
      <w:r w:rsidRPr="00EE2051">
        <w:rPr>
          <w:rFonts w:ascii="Arial" w:eastAsia="Arial" w:hAnsi="Arial" w:cs="Arial"/>
          <w:color w:val="0F0F0F"/>
          <w:sz w:val="20"/>
          <w:szCs w:val="20"/>
        </w:rPr>
        <w:t>dal D.M. 2</w:t>
      </w:r>
      <w:r w:rsidR="00EE2051" w:rsidRPr="00EE2051">
        <w:rPr>
          <w:rFonts w:ascii="Arial" w:eastAsia="Arial" w:hAnsi="Arial" w:cs="Arial"/>
          <w:color w:val="0F0F0F"/>
          <w:sz w:val="20"/>
          <w:szCs w:val="20"/>
        </w:rPr>
        <w:t>4</w:t>
      </w:r>
      <w:r w:rsidRPr="00EE2051">
        <w:rPr>
          <w:rFonts w:ascii="Arial" w:eastAsia="Arial" w:hAnsi="Arial" w:cs="Arial"/>
          <w:color w:val="0F0F0F"/>
          <w:sz w:val="20"/>
          <w:szCs w:val="20"/>
        </w:rPr>
        <w:t xml:space="preserve"> luglio 2026 e supp</w:t>
      </w:r>
      <w:r w:rsidRPr="006D68E4">
        <w:rPr>
          <w:rFonts w:ascii="Arial" w:eastAsia="Arial" w:hAnsi="Arial" w:cs="Arial"/>
          <w:color w:val="0F0F0F"/>
          <w:sz w:val="20"/>
          <w:szCs w:val="20"/>
        </w:rPr>
        <w:t xml:space="preserve">ortato dalle istruzioni operative AGEA n. 72 del 5 agosto 2026, disciplina l’agevolazione relativa agli </w:t>
      </w:r>
      <w:r w:rsidRPr="00082872">
        <w:rPr>
          <w:rFonts w:ascii="Arial" w:eastAsia="Arial" w:hAnsi="Arial" w:cs="Arial"/>
          <w:b/>
          <w:bCs/>
          <w:color w:val="0F0F0F"/>
          <w:sz w:val="20"/>
          <w:szCs w:val="20"/>
        </w:rPr>
        <w:t>acquisti effettuati nel periodo da marzo a maggio 2026</w:t>
      </w:r>
      <w:r w:rsidRPr="006D68E4">
        <w:rPr>
          <w:rFonts w:ascii="Arial" w:eastAsia="Arial" w:hAnsi="Arial" w:cs="Arial"/>
          <w:color w:val="0F0F0F"/>
          <w:sz w:val="20"/>
          <w:szCs w:val="20"/>
        </w:rPr>
        <w:t>.</w:t>
      </w:r>
    </w:p>
    <w:p w14:paraId="0A45246D" w14:textId="0A0D35BF" w:rsidR="002E5BF5" w:rsidRPr="006D68E4" w:rsidRDefault="002E5BF5" w:rsidP="006D68E4">
      <w:pPr>
        <w:pBdr>
          <w:top w:val="nil"/>
          <w:left w:val="nil"/>
          <w:bottom w:val="nil"/>
          <w:right w:val="nil"/>
          <w:between w:val="nil"/>
        </w:pBdr>
        <w:spacing w:line="300" w:lineRule="atLeast"/>
        <w:ind w:left="0" w:hanging="2"/>
        <w:jc w:val="both"/>
        <w:rPr>
          <w:rFonts w:ascii="Arial" w:eastAsia="Arial" w:hAnsi="Arial" w:cs="Arial"/>
          <w:color w:val="0F0F0F"/>
          <w:sz w:val="20"/>
          <w:szCs w:val="20"/>
        </w:rPr>
      </w:pPr>
      <w:r w:rsidRPr="006D68E4">
        <w:rPr>
          <w:rFonts w:ascii="Arial" w:eastAsia="Arial" w:hAnsi="Arial" w:cs="Arial"/>
          <w:color w:val="0F0F0F"/>
          <w:sz w:val="20"/>
          <w:szCs w:val="20"/>
        </w:rPr>
        <w:t xml:space="preserve">L’agevolazione è riconosciuta </w:t>
      </w:r>
      <w:r w:rsidRPr="00082872">
        <w:rPr>
          <w:rFonts w:ascii="Arial" w:eastAsia="Arial" w:hAnsi="Arial" w:cs="Arial"/>
          <w:b/>
          <w:bCs/>
          <w:color w:val="0F0F0F"/>
          <w:sz w:val="20"/>
          <w:szCs w:val="20"/>
        </w:rPr>
        <w:t>fino al 20% della spesa sostenuta, con un limite massimo per singola impresa fissato a 50.000 euro</w:t>
      </w:r>
      <w:r w:rsidRPr="006D68E4">
        <w:rPr>
          <w:rFonts w:ascii="Arial" w:eastAsia="Arial" w:hAnsi="Arial" w:cs="Arial"/>
          <w:color w:val="0F0F0F"/>
          <w:sz w:val="20"/>
          <w:szCs w:val="20"/>
        </w:rPr>
        <w:t>. È importante sottolineare che il diritto al credito sorge al momento della consegna del carburante; pertanto</w:t>
      </w:r>
      <w:r w:rsidR="00082872">
        <w:rPr>
          <w:rFonts w:ascii="Arial" w:eastAsia="Arial" w:hAnsi="Arial" w:cs="Arial"/>
          <w:color w:val="0F0F0F"/>
          <w:sz w:val="20"/>
          <w:szCs w:val="20"/>
        </w:rPr>
        <w:t>,</w:t>
      </w:r>
      <w:r w:rsidRPr="006D68E4">
        <w:rPr>
          <w:rFonts w:ascii="Arial" w:eastAsia="Arial" w:hAnsi="Arial" w:cs="Arial"/>
          <w:color w:val="0F0F0F"/>
          <w:sz w:val="20"/>
          <w:szCs w:val="20"/>
        </w:rPr>
        <w:t xml:space="preserve"> sono ammissibili anche fatture emesse successivamente al 31 maggio 2026, purché relative a prodotti consegnati entro tale data. La procedura di richiesta deve essere perfezionata esclusivamente per via telematica tramite la piattaforma dedicata sul sito dell’AGEA, anche con l’assistenza dei CAA, entro il termine perentorio del 30 settembre 2026.</w:t>
      </w:r>
    </w:p>
    <w:p w14:paraId="19931AC1" w14:textId="77777777" w:rsidR="002E5BF5" w:rsidRPr="006D68E4" w:rsidRDefault="002E5BF5" w:rsidP="006D68E4">
      <w:pPr>
        <w:pBdr>
          <w:top w:val="nil"/>
          <w:left w:val="nil"/>
          <w:bottom w:val="nil"/>
          <w:right w:val="nil"/>
          <w:between w:val="nil"/>
        </w:pBdr>
        <w:spacing w:line="300" w:lineRule="atLeast"/>
        <w:ind w:left="0" w:hanging="2"/>
        <w:jc w:val="both"/>
        <w:rPr>
          <w:rFonts w:ascii="Arial" w:eastAsia="Arial" w:hAnsi="Arial" w:cs="Arial"/>
          <w:color w:val="0F0F0F"/>
          <w:sz w:val="20"/>
          <w:szCs w:val="20"/>
        </w:rPr>
      </w:pPr>
      <w:r w:rsidRPr="006D68E4">
        <w:rPr>
          <w:rFonts w:ascii="Arial" w:eastAsia="Arial" w:hAnsi="Arial" w:cs="Arial"/>
          <w:color w:val="0F0F0F"/>
          <w:sz w:val="20"/>
          <w:szCs w:val="20"/>
        </w:rPr>
        <w:t>Il credito riconosciuto sarà utilizzabile esclusivamente in compensazione tramite il modello F24 a partire dal giorno successivo al provvedimento di concessione, e comunque entro il 31 dicembre 2026. Si precisa che, qualora l’ammontare complessivo dei crediti richiesti dovesse eccedere le risorse stanziate, l’aliquota del 20% sarà soggetta a rideterminazione proporzionale, in base al rapporto tra il limite di spesa complessivo e la somma dei crediti effettivamente ammissibili.</w:t>
      </w:r>
    </w:p>
    <w:p w14:paraId="34E06FB8" w14:textId="77777777" w:rsidR="00792D9F" w:rsidRPr="006D68E4" w:rsidRDefault="00792D9F" w:rsidP="006D68E4">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212ABD23" w14:textId="77777777" w:rsidR="00792D9F" w:rsidRDefault="00792D9F" w:rsidP="00C361CF">
      <w:pPr>
        <w:pBdr>
          <w:top w:val="nil"/>
          <w:left w:val="nil"/>
          <w:bottom w:val="nil"/>
          <w:right w:val="nil"/>
          <w:between w:val="nil"/>
        </w:pBdr>
        <w:spacing w:line="300" w:lineRule="atLeast"/>
        <w:ind w:left="0" w:hanging="2"/>
        <w:jc w:val="both"/>
        <w:rPr>
          <w:rFonts w:ascii="Arial" w:eastAsia="Arial" w:hAnsi="Arial" w:cs="Arial"/>
          <w:color w:val="000000"/>
          <w:sz w:val="20"/>
          <w:szCs w:val="20"/>
        </w:rPr>
      </w:pPr>
    </w:p>
    <w:p w14:paraId="0EB01A49" w14:textId="280DAD13" w:rsidR="00C361CF" w:rsidRPr="00C361CF" w:rsidRDefault="00C361CF" w:rsidP="00C361CF">
      <w:pPr>
        <w:shd w:val="clear" w:color="auto" w:fill="FFFFFF"/>
        <w:spacing w:line="300" w:lineRule="atLeast"/>
        <w:ind w:left="0" w:hanging="2"/>
        <w:jc w:val="both"/>
        <w:rPr>
          <w:rFonts w:ascii="Calibri" w:eastAsia="Aptos" w:hAnsi="Calibri" w:cs="Arial"/>
          <w:color w:val="0F0F0F"/>
          <w:kern w:val="2"/>
          <w:sz w:val="22"/>
          <w:szCs w:val="22"/>
          <w:lang w:eastAsia="en-US"/>
        </w:rPr>
      </w:pPr>
      <w:r w:rsidRPr="00C361CF">
        <w:rPr>
          <w:rFonts w:ascii="Calibri" w:eastAsia="Aptos" w:hAnsi="Calibri" w:cs="Arial"/>
          <w:color w:val="0F0F0F"/>
          <w:kern w:val="2"/>
          <w:sz w:val="22"/>
          <w:szCs w:val="22"/>
          <w:lang w:eastAsia="en-US"/>
        </w:rPr>
        <w:t>IVA</w:t>
      </w:r>
    </w:p>
    <w:p w14:paraId="708ACE6E" w14:textId="77777777" w:rsidR="002E5BF5" w:rsidRPr="00C361CF" w:rsidRDefault="002E5BF5" w:rsidP="00C361CF">
      <w:pPr>
        <w:shd w:val="clear" w:color="auto" w:fill="FFFFFF"/>
        <w:spacing w:line="300" w:lineRule="atLeast"/>
        <w:ind w:left="0" w:hanging="2"/>
        <w:jc w:val="both"/>
        <w:rPr>
          <w:rFonts w:ascii="Arial" w:eastAsia="Arial" w:hAnsi="Arial" w:cs="Arial"/>
          <w:b/>
          <w:bCs/>
          <w:color w:val="0F0F0F"/>
          <w:sz w:val="20"/>
          <w:szCs w:val="20"/>
        </w:rPr>
      </w:pPr>
      <w:r w:rsidRPr="00EE2051">
        <w:rPr>
          <w:rFonts w:ascii="Arial" w:eastAsia="Arial" w:hAnsi="Arial" w:cs="Arial"/>
          <w:b/>
          <w:bCs/>
          <w:color w:val="0F0F0F"/>
          <w:sz w:val="20"/>
          <w:szCs w:val="20"/>
        </w:rPr>
        <w:t>Trasmissione corrispettivi telematici: introdotta la soglia di tolleranza del 5%</w:t>
      </w:r>
    </w:p>
    <w:p w14:paraId="20123FA6" w14:textId="66CF754F" w:rsidR="00C361CF" w:rsidRPr="003D71EE" w:rsidRDefault="00C361CF" w:rsidP="00C361CF">
      <w:pPr>
        <w:shd w:val="clear" w:color="auto" w:fill="FFFFFF"/>
        <w:spacing w:line="300" w:lineRule="atLeast"/>
        <w:ind w:leftChars="0" w:left="2" w:hanging="2"/>
        <w:jc w:val="both"/>
        <w:rPr>
          <w:rFonts w:ascii="Arial" w:eastAsia="Arial" w:hAnsi="Arial" w:cs="Arial"/>
          <w:i/>
          <w:iCs/>
          <w:sz w:val="20"/>
          <w:szCs w:val="20"/>
          <w:lang w:val="en-US"/>
        </w:rPr>
      </w:pPr>
      <w:proofErr w:type="spellStart"/>
      <w:r w:rsidRPr="003D71EE">
        <w:rPr>
          <w:rFonts w:ascii="Arial" w:eastAsia="Arial" w:hAnsi="Arial" w:cs="Arial"/>
          <w:i/>
          <w:iCs/>
          <w:sz w:val="20"/>
          <w:szCs w:val="20"/>
          <w:lang w:val="en-US"/>
        </w:rPr>
        <w:t>D.Lgs</w:t>
      </w:r>
      <w:proofErr w:type="spellEnd"/>
      <w:r w:rsidRPr="003D71EE">
        <w:rPr>
          <w:rFonts w:ascii="Arial" w:eastAsia="Arial" w:hAnsi="Arial" w:cs="Arial"/>
          <w:i/>
          <w:iCs/>
          <w:sz w:val="20"/>
          <w:szCs w:val="20"/>
          <w:lang w:val="en-US"/>
        </w:rPr>
        <w:t xml:space="preserve">. 7 </w:t>
      </w:r>
      <w:proofErr w:type="spellStart"/>
      <w:r w:rsidRPr="003D71EE">
        <w:rPr>
          <w:rFonts w:ascii="Arial" w:eastAsia="Arial" w:hAnsi="Arial" w:cs="Arial"/>
          <w:i/>
          <w:iCs/>
          <w:sz w:val="20"/>
          <w:szCs w:val="20"/>
          <w:lang w:val="en-US"/>
        </w:rPr>
        <w:t>agosto</w:t>
      </w:r>
      <w:proofErr w:type="spellEnd"/>
      <w:r w:rsidRPr="003D71EE">
        <w:rPr>
          <w:rFonts w:ascii="Arial" w:eastAsia="Arial" w:hAnsi="Arial" w:cs="Arial"/>
          <w:i/>
          <w:iCs/>
          <w:sz w:val="20"/>
          <w:szCs w:val="20"/>
          <w:lang w:val="en-US"/>
        </w:rPr>
        <w:t xml:space="preserve"> 2026, n. 148, art. </w:t>
      </w:r>
      <w:r w:rsidR="00EE2051">
        <w:rPr>
          <w:rFonts w:ascii="Arial" w:eastAsia="Arial" w:hAnsi="Arial" w:cs="Arial"/>
          <w:i/>
          <w:iCs/>
          <w:sz w:val="20"/>
          <w:szCs w:val="20"/>
          <w:lang w:val="en-US"/>
        </w:rPr>
        <w:t>33</w:t>
      </w:r>
    </w:p>
    <w:p w14:paraId="2DB36C39" w14:textId="3DDCF3F5" w:rsidR="002E5BF5" w:rsidRPr="00C361CF" w:rsidRDefault="002E5BF5" w:rsidP="00C361CF">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C361CF">
        <w:rPr>
          <w:rFonts w:ascii="Arial" w:eastAsia="Arial" w:hAnsi="Arial" w:cs="Arial"/>
          <w:color w:val="0F0F0F"/>
          <w:sz w:val="20"/>
          <w:szCs w:val="20"/>
        </w:rPr>
        <w:t xml:space="preserve">Una delle novità di rilievo introdotte dal decreto correttivo Omnibus riguarda la modifica del regime sanzionatorio per le violazioni in tema di memorizzazione e trasmissione telematica dei corrispettivi giornalieri. </w:t>
      </w:r>
      <w:r w:rsidRPr="00C361CF">
        <w:rPr>
          <w:rFonts w:ascii="Arial" w:eastAsia="Arial" w:hAnsi="Arial" w:cs="Arial"/>
          <w:color w:val="0F0F0F"/>
          <w:sz w:val="20"/>
          <w:szCs w:val="20"/>
        </w:rPr>
        <w:lastRenderedPageBreak/>
        <w:t xml:space="preserve">La norma prevede una soglia di </w:t>
      </w:r>
      <w:r w:rsidRPr="00EE2051">
        <w:rPr>
          <w:rFonts w:ascii="Arial" w:eastAsia="Arial" w:hAnsi="Arial" w:cs="Arial"/>
          <w:b/>
          <w:bCs/>
          <w:color w:val="0F0F0F"/>
          <w:sz w:val="20"/>
          <w:szCs w:val="20"/>
        </w:rPr>
        <w:t>tolleranza del 5% per gli errori meramente formali che non abbiano inciso sulla corretta liquidazione dell’IVA</w:t>
      </w:r>
      <w:r w:rsidRPr="00C361CF">
        <w:rPr>
          <w:rFonts w:ascii="Arial" w:eastAsia="Arial" w:hAnsi="Arial" w:cs="Arial"/>
          <w:color w:val="0F0F0F"/>
          <w:sz w:val="20"/>
          <w:szCs w:val="20"/>
        </w:rPr>
        <w:t>.</w:t>
      </w:r>
    </w:p>
    <w:p w14:paraId="574B850C" w14:textId="77777777" w:rsidR="002E5BF5" w:rsidRPr="00C361CF" w:rsidRDefault="002E5BF5" w:rsidP="00C361CF">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C361CF">
        <w:rPr>
          <w:rFonts w:ascii="Arial" w:eastAsia="Arial" w:hAnsi="Arial" w:cs="Arial"/>
          <w:color w:val="0F0F0F"/>
          <w:sz w:val="20"/>
          <w:szCs w:val="20"/>
        </w:rPr>
        <w:t>In particolare, la sanzione di 100 euro per singola trasmissione (con un limite massimo di 1.000 euro per trimestre) non troverà applicazione nel caso in cui, tra il numero delle operazioni regolate tramite pagamento elettronico registrate e il numero dei pagamenti effettivamente accettati, si riscontri una discrepanza inferiore o uguale a tale soglia percentuale. Questa misura risponde all’esigenza di distinguere le infrazioni sostanziali, che comportano un effettivo minor versamento d’imposta, dalle discrasie tecniche o materiali che possono verificarsi nella prassi operativa quotidiana dei commercianti.</w:t>
      </w:r>
    </w:p>
    <w:p w14:paraId="073BFBFF" w14:textId="5C6CF175" w:rsidR="002E5BF5" w:rsidRPr="00C361CF" w:rsidRDefault="002E5BF5" w:rsidP="00C361CF">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C361CF">
        <w:rPr>
          <w:rFonts w:ascii="Arial" w:eastAsia="Arial" w:hAnsi="Arial" w:cs="Arial"/>
          <w:color w:val="0F0F0F"/>
          <w:sz w:val="20"/>
          <w:szCs w:val="20"/>
        </w:rPr>
        <w:t>L’intervento mira a ridurre il rischio sanzionatorio per gli esercenti, introducendo criteri di maggiore ragionevolezza nel rapporto tra adempimento e accertamento. Tuttavia, resta ferma la necessità di un monitoraggio costante e di una corretta gestione dei sistemi di pagamento e di emissione degli scontrini, poiché la soglia di tolleranza opera unicamente nei limiti specificati e non esonera dal rispetto degli obblighi di corretta memorizzazione dei dati fiscal</w:t>
      </w:r>
      <w:r w:rsidR="00EE2051">
        <w:rPr>
          <w:rFonts w:ascii="Arial" w:eastAsia="Arial" w:hAnsi="Arial" w:cs="Arial"/>
          <w:color w:val="0F0F0F"/>
          <w:sz w:val="20"/>
          <w:szCs w:val="20"/>
        </w:rPr>
        <w:t>i.</w:t>
      </w:r>
    </w:p>
    <w:p w14:paraId="528278DF" w14:textId="77777777" w:rsidR="00792D9F" w:rsidRPr="00C361CF" w:rsidRDefault="00792D9F" w:rsidP="00C361CF">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p>
    <w:p w14:paraId="7263E1A5" w14:textId="77777777" w:rsidR="00792D9F" w:rsidRPr="00C361CF" w:rsidRDefault="00792D9F" w:rsidP="00C361CF">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bookmarkStart w:id="1" w:name="_heading=h.bws5up10whj2" w:colFirst="0" w:colLast="0"/>
      <w:bookmarkEnd w:id="1"/>
    </w:p>
    <w:p w14:paraId="54E9B7A9" w14:textId="54480929" w:rsidR="00EE2051" w:rsidRPr="00EE2051" w:rsidRDefault="00EE2051" w:rsidP="00EE2051">
      <w:pPr>
        <w:shd w:val="clear" w:color="auto" w:fill="FFFFFF"/>
        <w:spacing w:line="300" w:lineRule="atLeast"/>
        <w:ind w:left="0" w:hanging="2"/>
        <w:jc w:val="both"/>
        <w:rPr>
          <w:rFonts w:ascii="Calibri" w:eastAsia="Aptos" w:hAnsi="Calibri" w:cs="Arial"/>
          <w:color w:val="0F0F0F"/>
          <w:kern w:val="2"/>
          <w:sz w:val="22"/>
          <w:szCs w:val="22"/>
          <w:lang w:eastAsia="en-US"/>
        </w:rPr>
      </w:pPr>
      <w:r w:rsidRPr="00EE2051">
        <w:rPr>
          <w:rFonts w:ascii="Calibri" w:eastAsia="Aptos" w:hAnsi="Calibri" w:cs="Arial"/>
          <w:color w:val="0F0F0F"/>
          <w:kern w:val="2"/>
          <w:sz w:val="22"/>
          <w:szCs w:val="22"/>
          <w:lang w:eastAsia="en-US"/>
        </w:rPr>
        <w:t>AGEVOLAZIONI</w:t>
      </w:r>
    </w:p>
    <w:p w14:paraId="3809109B" w14:textId="13D02F75" w:rsidR="002E5BF5" w:rsidRPr="00EE2051" w:rsidRDefault="002E5BF5" w:rsidP="00EE2051">
      <w:pPr>
        <w:shd w:val="clear" w:color="auto" w:fill="FFFFFF"/>
        <w:spacing w:line="300" w:lineRule="atLeast"/>
        <w:ind w:left="0" w:hanging="2"/>
        <w:jc w:val="both"/>
        <w:rPr>
          <w:rFonts w:ascii="Arial" w:eastAsia="Arial" w:hAnsi="Arial" w:cs="Arial"/>
          <w:b/>
          <w:bCs/>
          <w:sz w:val="20"/>
          <w:szCs w:val="20"/>
        </w:rPr>
      </w:pPr>
      <w:r w:rsidRPr="00090E09">
        <w:rPr>
          <w:rFonts w:ascii="Arial" w:eastAsia="Arial" w:hAnsi="Arial" w:cs="Arial"/>
          <w:b/>
          <w:bCs/>
          <w:sz w:val="20"/>
          <w:szCs w:val="20"/>
        </w:rPr>
        <w:t>Iper</w:t>
      </w:r>
      <w:r w:rsidR="00992E25" w:rsidRPr="00090E09">
        <w:rPr>
          <w:rFonts w:ascii="Arial" w:eastAsia="Arial" w:hAnsi="Arial" w:cs="Arial"/>
          <w:b/>
          <w:bCs/>
          <w:sz w:val="20"/>
          <w:szCs w:val="20"/>
        </w:rPr>
        <w:t xml:space="preserve"> </w:t>
      </w:r>
      <w:r w:rsidRPr="00090E09">
        <w:rPr>
          <w:rFonts w:ascii="Arial" w:eastAsia="Arial" w:hAnsi="Arial" w:cs="Arial"/>
          <w:b/>
          <w:bCs/>
          <w:sz w:val="20"/>
          <w:szCs w:val="20"/>
        </w:rPr>
        <w:t>ammortamenti: termine perentorio di 60 giorni per le comunicazioni di conferma</w:t>
      </w:r>
    </w:p>
    <w:p w14:paraId="1C71696E" w14:textId="3321B6B2" w:rsidR="002E5BF5" w:rsidRPr="00EE2051" w:rsidRDefault="002E5BF5" w:rsidP="00EE2051">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EE2051">
        <w:rPr>
          <w:rFonts w:ascii="Arial" w:eastAsia="Arial" w:hAnsi="Arial" w:cs="Arial"/>
          <w:sz w:val="20"/>
          <w:szCs w:val="20"/>
        </w:rPr>
        <w:t xml:space="preserve">La gestione delle agevolazioni relative </w:t>
      </w:r>
      <w:proofErr w:type="gramStart"/>
      <w:r w:rsidRPr="00EE2051">
        <w:rPr>
          <w:rFonts w:ascii="Arial" w:eastAsia="Arial" w:hAnsi="Arial" w:cs="Arial"/>
          <w:sz w:val="20"/>
          <w:szCs w:val="20"/>
        </w:rPr>
        <w:t>all’iper</w:t>
      </w:r>
      <w:r w:rsidR="00090E09">
        <w:rPr>
          <w:rFonts w:ascii="Arial" w:eastAsia="Arial" w:hAnsi="Arial" w:cs="Arial"/>
          <w:sz w:val="20"/>
          <w:szCs w:val="20"/>
        </w:rPr>
        <w:t xml:space="preserve"> </w:t>
      </w:r>
      <w:r w:rsidRPr="00EE2051">
        <w:rPr>
          <w:rFonts w:ascii="Arial" w:eastAsia="Arial" w:hAnsi="Arial" w:cs="Arial"/>
          <w:sz w:val="20"/>
          <w:szCs w:val="20"/>
        </w:rPr>
        <w:t>ammortamento</w:t>
      </w:r>
      <w:proofErr w:type="gramEnd"/>
      <w:r w:rsidRPr="00EE2051">
        <w:rPr>
          <w:rFonts w:ascii="Arial" w:eastAsia="Arial" w:hAnsi="Arial" w:cs="Arial"/>
          <w:sz w:val="20"/>
          <w:szCs w:val="20"/>
        </w:rPr>
        <w:t xml:space="preserve"> ex </w:t>
      </w:r>
      <w:r w:rsidR="00090E09">
        <w:rPr>
          <w:rFonts w:ascii="Arial" w:eastAsia="Arial" w:hAnsi="Arial" w:cs="Arial"/>
          <w:sz w:val="20"/>
          <w:szCs w:val="20"/>
        </w:rPr>
        <w:t>legge n.</w:t>
      </w:r>
      <w:r w:rsidRPr="00EE2051">
        <w:rPr>
          <w:rFonts w:ascii="Arial" w:eastAsia="Arial" w:hAnsi="Arial" w:cs="Arial"/>
          <w:sz w:val="20"/>
          <w:szCs w:val="20"/>
        </w:rPr>
        <w:t xml:space="preserve"> 199/2025 richiede la massima attenzione al rispetto delle scadenze procedurali. In linea con il decreto ministeriale del 7 maggio 2026, le imprese che hanno ottenuto un esito positivo della comunicazione preventiva da parte del GSE devono trasmettere la </w:t>
      </w:r>
      <w:r w:rsidRPr="00090E09">
        <w:rPr>
          <w:rFonts w:ascii="Arial" w:eastAsia="Arial" w:hAnsi="Arial" w:cs="Arial"/>
          <w:b/>
          <w:bCs/>
          <w:sz w:val="20"/>
          <w:szCs w:val="20"/>
        </w:rPr>
        <w:t>comunicazione di conferma entro un termine perentorio</w:t>
      </w:r>
      <w:r w:rsidRPr="00EE2051">
        <w:rPr>
          <w:rFonts w:ascii="Arial" w:eastAsia="Arial" w:hAnsi="Arial" w:cs="Arial"/>
          <w:sz w:val="20"/>
          <w:szCs w:val="20"/>
        </w:rPr>
        <w:t xml:space="preserve"> di 60 giorni.</w:t>
      </w:r>
    </w:p>
    <w:p w14:paraId="45E66FDC" w14:textId="2F6A9C0A" w:rsidR="002E5BF5" w:rsidRPr="00EE2051" w:rsidRDefault="002E5BF5" w:rsidP="00EE2051">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EE2051">
        <w:rPr>
          <w:rFonts w:ascii="Arial" w:eastAsia="Arial" w:hAnsi="Arial" w:cs="Arial"/>
          <w:sz w:val="20"/>
          <w:szCs w:val="20"/>
        </w:rPr>
        <w:t xml:space="preserve">Le istruzioni operative, aggiornate al 21 luglio 2026, hanno fugato ogni dubbio interpretativo: il computo dei giorni è da intendersi come </w:t>
      </w:r>
      <w:r w:rsidRPr="00090E09">
        <w:rPr>
          <w:rFonts w:ascii="Arial" w:eastAsia="Arial" w:hAnsi="Arial" w:cs="Arial"/>
          <w:b/>
          <w:bCs/>
          <w:sz w:val="20"/>
          <w:szCs w:val="20"/>
        </w:rPr>
        <w:t>60 giorni di calendario</w:t>
      </w:r>
      <w:r w:rsidRPr="00EE2051">
        <w:rPr>
          <w:rFonts w:ascii="Arial" w:eastAsia="Arial" w:hAnsi="Arial" w:cs="Arial"/>
          <w:sz w:val="20"/>
          <w:szCs w:val="20"/>
        </w:rPr>
        <w:t>, eliminando il riferimento precedente ai giorni “lavorativi”. L’inosservanza di tale termine comporta il mancato perfezionamento della procedura di accesso al beneficio fiscale.</w:t>
      </w:r>
    </w:p>
    <w:p w14:paraId="345E2F07" w14:textId="77777777" w:rsidR="002E5BF5" w:rsidRPr="00EE2051" w:rsidRDefault="002E5BF5" w:rsidP="00EE2051">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EE2051">
        <w:rPr>
          <w:rFonts w:ascii="Arial" w:eastAsia="Arial" w:hAnsi="Arial" w:cs="Arial"/>
          <w:sz w:val="20"/>
          <w:szCs w:val="20"/>
        </w:rPr>
        <w:t xml:space="preserve">È opportuno sottolineare che la comunicazione di conferma rappresenta un passaggio formale essenziale, da redigere secondo lo </w:t>
      </w:r>
      <w:r w:rsidRPr="00A966B9">
        <w:rPr>
          <w:rFonts w:ascii="Arial" w:eastAsia="Arial" w:hAnsi="Arial" w:cs="Arial"/>
          <w:b/>
          <w:bCs/>
          <w:sz w:val="20"/>
          <w:szCs w:val="20"/>
        </w:rPr>
        <w:t>specifico modello</w:t>
      </w:r>
      <w:r w:rsidRPr="00EE2051">
        <w:rPr>
          <w:rFonts w:ascii="Arial" w:eastAsia="Arial" w:hAnsi="Arial" w:cs="Arial"/>
          <w:sz w:val="20"/>
          <w:szCs w:val="20"/>
        </w:rPr>
        <w:t xml:space="preserve"> predisposto. Il revisore legale, chiamato a certificare l’effettivo sostenimento delle spese ammissibili, deve verificare la corrispondenza tra quanto dichiarato e la documentazione contabile prodotta dall’impresa. Si raccomanda pertanto di avviare tempestivamente l’attività di </w:t>
      </w:r>
      <w:r w:rsidRPr="00A966B9">
        <w:rPr>
          <w:rFonts w:ascii="Arial" w:eastAsia="Arial" w:hAnsi="Arial" w:cs="Arial"/>
          <w:b/>
          <w:bCs/>
          <w:sz w:val="20"/>
          <w:szCs w:val="20"/>
        </w:rPr>
        <w:t>verifica documentale</w:t>
      </w:r>
      <w:r w:rsidRPr="00EE2051">
        <w:rPr>
          <w:rFonts w:ascii="Arial" w:eastAsia="Arial" w:hAnsi="Arial" w:cs="Arial"/>
          <w:sz w:val="20"/>
          <w:szCs w:val="20"/>
        </w:rPr>
        <w:t>, analizzando fatture, pagamenti e verbali di interconnessione, per garantire la completezza del fascicolo a corredo della pratica. La tracciabilità delle operazioni e la conformità documentale costituiscono il presupposto imprescindibile per l’attestazione del credito d’imposta e per la tenuta dello stesso in caso di futuri controlli dell’Autorità fiscale.</w:t>
      </w:r>
    </w:p>
    <w:p w14:paraId="70F54E03" w14:textId="77777777" w:rsidR="00792D9F" w:rsidRPr="00EE2051" w:rsidRDefault="00792D9F" w:rsidP="00EE2051">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p>
    <w:p w14:paraId="0DBECB05" w14:textId="77777777" w:rsidR="00792D9F" w:rsidRPr="00EE2051" w:rsidRDefault="00792D9F" w:rsidP="00EE2051">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p>
    <w:p w14:paraId="7E58B71B" w14:textId="3E44FE40" w:rsidR="00A966B9" w:rsidRPr="00A966B9" w:rsidRDefault="00A966B9" w:rsidP="00A966B9">
      <w:pPr>
        <w:shd w:val="clear" w:color="auto" w:fill="FFFFFF"/>
        <w:spacing w:line="300" w:lineRule="atLeast"/>
        <w:ind w:left="0" w:hanging="2"/>
        <w:jc w:val="both"/>
        <w:rPr>
          <w:rFonts w:ascii="Calibri" w:eastAsia="Aptos" w:hAnsi="Calibri" w:cs="Arial"/>
          <w:color w:val="0F0F0F"/>
          <w:kern w:val="2"/>
          <w:sz w:val="22"/>
          <w:szCs w:val="22"/>
          <w:lang w:eastAsia="en-US"/>
        </w:rPr>
      </w:pPr>
      <w:r w:rsidRPr="00A966B9">
        <w:rPr>
          <w:rFonts w:ascii="Calibri" w:eastAsia="Aptos" w:hAnsi="Calibri" w:cs="Arial"/>
          <w:color w:val="0F0F0F"/>
          <w:kern w:val="2"/>
          <w:sz w:val="22"/>
          <w:szCs w:val="22"/>
          <w:lang w:eastAsia="en-US"/>
        </w:rPr>
        <w:t>AGEVOLAZIONI</w:t>
      </w:r>
    </w:p>
    <w:p w14:paraId="4BDC1F55" w14:textId="7303C32E" w:rsidR="00C75EC6" w:rsidRPr="00A966B9" w:rsidRDefault="00C75EC6" w:rsidP="00A966B9">
      <w:pPr>
        <w:shd w:val="clear" w:color="auto" w:fill="FFFFFF"/>
        <w:spacing w:line="300" w:lineRule="atLeast"/>
        <w:ind w:left="0" w:hanging="2"/>
        <w:jc w:val="both"/>
        <w:rPr>
          <w:rFonts w:ascii="Arial" w:eastAsia="Arial" w:hAnsi="Arial" w:cs="Arial"/>
          <w:b/>
          <w:bCs/>
          <w:sz w:val="20"/>
          <w:szCs w:val="20"/>
        </w:rPr>
      </w:pPr>
      <w:r w:rsidRPr="00A966B9">
        <w:rPr>
          <w:rFonts w:ascii="Arial" w:eastAsia="Arial" w:hAnsi="Arial" w:cs="Arial"/>
          <w:b/>
          <w:bCs/>
          <w:sz w:val="20"/>
          <w:szCs w:val="20"/>
        </w:rPr>
        <w:t xml:space="preserve">Detrazioni </w:t>
      </w:r>
      <w:r w:rsidR="00A966B9" w:rsidRPr="00A966B9">
        <w:rPr>
          <w:rFonts w:ascii="Arial" w:eastAsia="Arial" w:hAnsi="Arial" w:cs="Arial"/>
          <w:b/>
          <w:bCs/>
          <w:sz w:val="20"/>
          <w:szCs w:val="20"/>
        </w:rPr>
        <w:t>s</w:t>
      </w:r>
      <w:r w:rsidRPr="00A966B9">
        <w:rPr>
          <w:rFonts w:ascii="Arial" w:eastAsia="Arial" w:hAnsi="Arial" w:cs="Arial"/>
          <w:b/>
          <w:bCs/>
          <w:sz w:val="20"/>
          <w:szCs w:val="20"/>
        </w:rPr>
        <w:t>tart</w:t>
      </w:r>
      <w:r w:rsidR="00A966B9" w:rsidRPr="00A966B9">
        <w:rPr>
          <w:rFonts w:ascii="Arial" w:eastAsia="Arial" w:hAnsi="Arial" w:cs="Arial"/>
          <w:b/>
          <w:bCs/>
          <w:sz w:val="20"/>
          <w:szCs w:val="20"/>
        </w:rPr>
        <w:t xml:space="preserve"> </w:t>
      </w:r>
      <w:r w:rsidRPr="00A966B9">
        <w:rPr>
          <w:rFonts w:ascii="Arial" w:eastAsia="Arial" w:hAnsi="Arial" w:cs="Arial"/>
          <w:b/>
          <w:bCs/>
          <w:sz w:val="20"/>
          <w:szCs w:val="20"/>
        </w:rPr>
        <w:t xml:space="preserve">up </w:t>
      </w:r>
      <w:r w:rsidR="00A966B9" w:rsidRPr="00A966B9">
        <w:rPr>
          <w:rFonts w:ascii="Arial" w:eastAsia="Arial" w:hAnsi="Arial" w:cs="Arial"/>
          <w:b/>
          <w:bCs/>
          <w:sz w:val="20"/>
          <w:szCs w:val="20"/>
        </w:rPr>
        <w:t>i</w:t>
      </w:r>
      <w:r w:rsidRPr="00A966B9">
        <w:rPr>
          <w:rFonts w:ascii="Arial" w:eastAsia="Arial" w:hAnsi="Arial" w:cs="Arial"/>
          <w:b/>
          <w:bCs/>
          <w:sz w:val="20"/>
          <w:szCs w:val="20"/>
        </w:rPr>
        <w:t>nnovative e SAFE: il riconoscimento del criterio di cassa</w:t>
      </w:r>
    </w:p>
    <w:p w14:paraId="58FC1BE0" w14:textId="73F6B797" w:rsidR="00A966B9" w:rsidRPr="007B3B98" w:rsidRDefault="00A966B9" w:rsidP="00A966B9">
      <w:pPr>
        <w:shd w:val="clear" w:color="auto" w:fill="FFFFFF"/>
        <w:spacing w:line="300" w:lineRule="atLeast"/>
        <w:ind w:left="0" w:hanging="2"/>
        <w:jc w:val="both"/>
        <w:rPr>
          <w:rFonts w:ascii="Arial" w:hAnsi="Arial" w:cs="Arial"/>
          <w:i/>
          <w:iCs/>
          <w:color w:val="0F0F0F"/>
          <w:sz w:val="20"/>
          <w:szCs w:val="20"/>
        </w:rPr>
      </w:pPr>
      <w:r w:rsidRPr="007B3B98">
        <w:rPr>
          <w:rFonts w:ascii="Arial" w:hAnsi="Arial" w:cs="Arial"/>
          <w:i/>
          <w:iCs/>
          <w:color w:val="0F0F0F"/>
          <w:sz w:val="20"/>
          <w:szCs w:val="20"/>
        </w:rPr>
        <w:t xml:space="preserve">Agenzia delle Entrate, Risposta a istanza di interpello </w:t>
      </w:r>
      <w:r>
        <w:rPr>
          <w:rFonts w:ascii="Arial" w:hAnsi="Arial" w:cs="Arial"/>
          <w:i/>
          <w:iCs/>
          <w:color w:val="0F0F0F"/>
          <w:sz w:val="20"/>
          <w:szCs w:val="20"/>
        </w:rPr>
        <w:t>8 luglio</w:t>
      </w:r>
      <w:r w:rsidRPr="007B3B98">
        <w:rPr>
          <w:rFonts w:ascii="Arial" w:hAnsi="Arial" w:cs="Arial"/>
          <w:i/>
          <w:iCs/>
          <w:color w:val="0F0F0F"/>
          <w:sz w:val="20"/>
          <w:szCs w:val="20"/>
        </w:rPr>
        <w:t xml:space="preserve"> 2026, n. </w:t>
      </w:r>
      <w:r>
        <w:rPr>
          <w:rFonts w:ascii="Arial" w:hAnsi="Arial" w:cs="Arial"/>
          <w:i/>
          <w:iCs/>
          <w:color w:val="0F0F0F"/>
          <w:sz w:val="20"/>
          <w:szCs w:val="20"/>
        </w:rPr>
        <w:t>137</w:t>
      </w:r>
    </w:p>
    <w:p w14:paraId="66AED0BD" w14:textId="195FE779" w:rsidR="00C75EC6" w:rsidRPr="00A966B9" w:rsidRDefault="00C75EC6" w:rsidP="00A966B9">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A966B9">
        <w:rPr>
          <w:rFonts w:ascii="Arial" w:eastAsia="Arial" w:hAnsi="Arial" w:cs="Arial"/>
          <w:sz w:val="20"/>
          <w:szCs w:val="20"/>
        </w:rPr>
        <w:t>Con la</w:t>
      </w:r>
      <w:r w:rsidR="00A966B9">
        <w:rPr>
          <w:rFonts w:ascii="Arial" w:eastAsia="Arial" w:hAnsi="Arial" w:cs="Arial"/>
          <w:sz w:val="20"/>
          <w:szCs w:val="20"/>
        </w:rPr>
        <w:t xml:space="preserve"> r</w:t>
      </w:r>
      <w:r w:rsidRPr="00A966B9">
        <w:rPr>
          <w:rFonts w:ascii="Arial" w:eastAsia="Arial" w:hAnsi="Arial" w:cs="Arial"/>
          <w:sz w:val="20"/>
          <w:szCs w:val="20"/>
        </w:rPr>
        <w:t>isposta n. 137</w:t>
      </w:r>
      <w:r w:rsidR="00A966B9">
        <w:rPr>
          <w:rFonts w:ascii="Arial" w:eastAsia="Arial" w:hAnsi="Arial" w:cs="Arial"/>
          <w:sz w:val="20"/>
          <w:szCs w:val="20"/>
        </w:rPr>
        <w:t xml:space="preserve"> dell’8 luglio </w:t>
      </w:r>
      <w:r w:rsidRPr="00A966B9">
        <w:rPr>
          <w:rFonts w:ascii="Arial" w:eastAsia="Arial" w:hAnsi="Arial" w:cs="Arial"/>
          <w:sz w:val="20"/>
          <w:szCs w:val="20"/>
        </w:rPr>
        <w:t xml:space="preserve">2026, l’Agenzia </w:t>
      </w:r>
      <w:r w:rsidR="00A966B9">
        <w:rPr>
          <w:rFonts w:ascii="Arial" w:eastAsia="Arial" w:hAnsi="Arial" w:cs="Arial"/>
          <w:sz w:val="20"/>
          <w:szCs w:val="20"/>
        </w:rPr>
        <w:t xml:space="preserve">delle </w:t>
      </w:r>
      <w:r w:rsidRPr="00A966B9">
        <w:rPr>
          <w:rFonts w:ascii="Arial" w:eastAsia="Arial" w:hAnsi="Arial" w:cs="Arial"/>
          <w:sz w:val="20"/>
          <w:szCs w:val="20"/>
        </w:rPr>
        <w:t>Entrate ha risolto le precedenti incertezze interpretative, confermando in modo formale l’ammissibilità dei contratti</w:t>
      </w:r>
      <w:r w:rsidR="00A966B9">
        <w:rPr>
          <w:rFonts w:ascii="Arial" w:eastAsia="Arial" w:hAnsi="Arial" w:cs="Arial"/>
          <w:sz w:val="20"/>
          <w:szCs w:val="20"/>
        </w:rPr>
        <w:t xml:space="preserve"> </w:t>
      </w:r>
      <w:r w:rsidRPr="00A966B9">
        <w:rPr>
          <w:rFonts w:ascii="Arial" w:eastAsia="Arial" w:hAnsi="Arial" w:cs="Arial"/>
          <w:sz w:val="20"/>
          <w:szCs w:val="20"/>
        </w:rPr>
        <w:t>SAFE</w:t>
      </w:r>
      <w:r w:rsidR="00A966B9">
        <w:rPr>
          <w:rFonts w:ascii="Arial" w:eastAsia="Arial" w:hAnsi="Arial" w:cs="Arial"/>
          <w:sz w:val="20"/>
          <w:szCs w:val="20"/>
        </w:rPr>
        <w:t xml:space="preserve"> </w:t>
      </w:r>
      <w:r w:rsidRPr="00A966B9">
        <w:rPr>
          <w:rFonts w:ascii="Arial" w:eastAsia="Arial" w:hAnsi="Arial" w:cs="Arial"/>
          <w:sz w:val="20"/>
          <w:szCs w:val="20"/>
        </w:rPr>
        <w:t>(</w:t>
      </w:r>
      <w:r w:rsidRPr="00A966B9">
        <w:rPr>
          <w:rFonts w:ascii="Arial" w:eastAsia="Arial" w:hAnsi="Arial" w:cs="Arial"/>
          <w:i/>
          <w:iCs/>
          <w:sz w:val="20"/>
          <w:szCs w:val="20"/>
        </w:rPr>
        <w:t>Simple Agreement for Future Equity</w:t>
      </w:r>
      <w:r w:rsidRPr="00A966B9">
        <w:rPr>
          <w:rFonts w:ascii="Arial" w:eastAsia="Arial" w:hAnsi="Arial" w:cs="Arial"/>
          <w:sz w:val="20"/>
          <w:szCs w:val="20"/>
        </w:rPr>
        <w:t>) e degli strumenti</w:t>
      </w:r>
      <w:r w:rsidR="00A966B9">
        <w:rPr>
          <w:rFonts w:ascii="Arial" w:eastAsia="Arial" w:hAnsi="Arial" w:cs="Arial"/>
          <w:sz w:val="20"/>
          <w:szCs w:val="20"/>
        </w:rPr>
        <w:t xml:space="preserve"> </w:t>
      </w:r>
      <w:r w:rsidRPr="00A966B9">
        <w:rPr>
          <w:rFonts w:ascii="Arial" w:eastAsia="Arial" w:hAnsi="Arial" w:cs="Arial"/>
          <w:i/>
          <w:iCs/>
          <w:sz w:val="20"/>
          <w:szCs w:val="20"/>
        </w:rPr>
        <w:t>in convertendo</w:t>
      </w:r>
      <w:r w:rsidR="00A966B9">
        <w:rPr>
          <w:rFonts w:ascii="Arial" w:eastAsia="Arial" w:hAnsi="Arial" w:cs="Arial"/>
          <w:sz w:val="20"/>
          <w:szCs w:val="20"/>
        </w:rPr>
        <w:t xml:space="preserve"> </w:t>
      </w:r>
      <w:r w:rsidRPr="00A966B9">
        <w:rPr>
          <w:rFonts w:ascii="Arial" w:eastAsia="Arial" w:hAnsi="Arial" w:cs="Arial"/>
          <w:sz w:val="20"/>
          <w:szCs w:val="20"/>
        </w:rPr>
        <w:t>alle agevolazioni fiscali per investimenti in start</w:t>
      </w:r>
      <w:r w:rsidR="00A966B9">
        <w:rPr>
          <w:rFonts w:ascii="Arial" w:eastAsia="Arial" w:hAnsi="Arial" w:cs="Arial"/>
          <w:sz w:val="20"/>
          <w:szCs w:val="20"/>
        </w:rPr>
        <w:t xml:space="preserve"> </w:t>
      </w:r>
      <w:r w:rsidRPr="00A966B9">
        <w:rPr>
          <w:rFonts w:ascii="Arial" w:eastAsia="Arial" w:hAnsi="Arial" w:cs="Arial"/>
          <w:sz w:val="20"/>
          <w:szCs w:val="20"/>
        </w:rPr>
        <w:t>up innovative.</w:t>
      </w:r>
    </w:p>
    <w:p w14:paraId="5B8AC8DC" w14:textId="04B6D975" w:rsidR="00C75EC6" w:rsidRPr="00A966B9" w:rsidRDefault="00C75EC6" w:rsidP="00A966B9">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A966B9">
        <w:rPr>
          <w:rFonts w:ascii="Arial" w:eastAsia="Arial" w:hAnsi="Arial" w:cs="Arial"/>
          <w:sz w:val="20"/>
          <w:szCs w:val="20"/>
        </w:rPr>
        <w:t>L’Agenzia ha chiarito che il diritto alla detrazione fiscale sorge</w:t>
      </w:r>
      <w:r w:rsidR="00A966B9">
        <w:rPr>
          <w:rFonts w:ascii="Arial" w:eastAsia="Arial" w:hAnsi="Arial" w:cs="Arial"/>
          <w:sz w:val="20"/>
          <w:szCs w:val="20"/>
        </w:rPr>
        <w:t xml:space="preserve"> </w:t>
      </w:r>
      <w:r w:rsidRPr="00A966B9">
        <w:rPr>
          <w:rFonts w:ascii="Arial" w:eastAsia="Arial" w:hAnsi="Arial" w:cs="Arial"/>
          <w:b/>
          <w:bCs/>
          <w:sz w:val="20"/>
          <w:szCs w:val="20"/>
        </w:rPr>
        <w:t>fin dal momento del versamento delle somme (principio di cassa)</w:t>
      </w:r>
      <w:r w:rsidRPr="00A966B9">
        <w:rPr>
          <w:rFonts w:ascii="Arial" w:eastAsia="Arial" w:hAnsi="Arial" w:cs="Arial"/>
          <w:sz w:val="20"/>
          <w:szCs w:val="20"/>
        </w:rPr>
        <w:t>, senza dover attendere l’effettiva conversione del contratto in quote o azioni.</w:t>
      </w:r>
      <w:r w:rsidR="00A966B9">
        <w:rPr>
          <w:rFonts w:ascii="Arial" w:eastAsia="Arial" w:hAnsi="Arial" w:cs="Arial"/>
          <w:sz w:val="20"/>
          <w:szCs w:val="20"/>
        </w:rPr>
        <w:t xml:space="preserve"> </w:t>
      </w:r>
      <w:r w:rsidRPr="00A966B9">
        <w:rPr>
          <w:rFonts w:ascii="Arial" w:eastAsia="Arial" w:hAnsi="Arial" w:cs="Arial"/>
          <w:sz w:val="20"/>
          <w:szCs w:val="20"/>
        </w:rPr>
        <w:t xml:space="preserve">Affinché il </w:t>
      </w:r>
      <w:r w:rsidRPr="00A966B9">
        <w:rPr>
          <w:rFonts w:ascii="Arial" w:eastAsia="Arial" w:hAnsi="Arial" w:cs="Arial"/>
          <w:sz w:val="20"/>
          <w:szCs w:val="20"/>
        </w:rPr>
        <w:lastRenderedPageBreak/>
        <w:t>beneficio fiscale maturi immediatamente nell’anno d’imposta dell’esborso, è necessario il rispetto dei seguenti requisiti:</w:t>
      </w:r>
    </w:p>
    <w:p w14:paraId="764896D5" w14:textId="6DE24AD9" w:rsidR="00C75EC6" w:rsidRPr="00A966B9" w:rsidRDefault="00A966B9" w:rsidP="00A966B9">
      <w:pPr>
        <w:pStyle w:val="Paragrafoelenco"/>
        <w:numPr>
          <w:ilvl w:val="0"/>
          <w:numId w:val="30"/>
        </w:numPr>
        <w:pBdr>
          <w:top w:val="nil"/>
          <w:left w:val="nil"/>
          <w:bottom w:val="nil"/>
          <w:right w:val="nil"/>
          <w:between w:val="nil"/>
        </w:pBdr>
        <w:shd w:val="clear" w:color="auto" w:fill="FFFFFF"/>
        <w:spacing w:line="300" w:lineRule="atLeast"/>
        <w:ind w:leftChars="0" w:firstLineChars="0"/>
        <w:jc w:val="both"/>
        <w:rPr>
          <w:rFonts w:ascii="Arial" w:eastAsia="Arial" w:hAnsi="Arial" w:cs="Arial"/>
          <w:sz w:val="20"/>
          <w:szCs w:val="20"/>
        </w:rPr>
      </w:pPr>
      <w:r>
        <w:rPr>
          <w:rFonts w:ascii="Arial" w:eastAsia="Arial" w:hAnsi="Arial" w:cs="Arial"/>
          <w:b/>
          <w:bCs/>
          <w:sz w:val="20"/>
          <w:szCs w:val="20"/>
        </w:rPr>
        <w:t>v</w:t>
      </w:r>
      <w:r w:rsidR="00C75EC6" w:rsidRPr="00A966B9">
        <w:rPr>
          <w:rFonts w:ascii="Arial" w:eastAsia="Arial" w:hAnsi="Arial" w:cs="Arial"/>
          <w:b/>
          <w:bCs/>
          <w:sz w:val="20"/>
          <w:szCs w:val="20"/>
        </w:rPr>
        <w:t>incolo di bilancio</w:t>
      </w:r>
      <w:r w:rsidR="00C75EC6" w:rsidRPr="00A966B9">
        <w:rPr>
          <w:rFonts w:ascii="Arial" w:eastAsia="Arial" w:hAnsi="Arial" w:cs="Arial"/>
          <w:sz w:val="20"/>
          <w:szCs w:val="20"/>
        </w:rPr>
        <w:t>:</w:t>
      </w:r>
      <w:r w:rsidRPr="00A966B9">
        <w:rPr>
          <w:rFonts w:ascii="Arial" w:eastAsia="Arial" w:hAnsi="Arial" w:cs="Arial"/>
          <w:sz w:val="20"/>
          <w:szCs w:val="20"/>
        </w:rPr>
        <w:t xml:space="preserve"> </w:t>
      </w:r>
      <w:r w:rsidR="00C75EC6" w:rsidRPr="00A966B9">
        <w:rPr>
          <w:rFonts w:ascii="Arial" w:eastAsia="Arial" w:hAnsi="Arial" w:cs="Arial"/>
          <w:sz w:val="20"/>
          <w:szCs w:val="20"/>
        </w:rPr>
        <w:t>il capitale versato deve essere iscritto dalla start</w:t>
      </w:r>
      <w:r>
        <w:rPr>
          <w:rFonts w:ascii="Arial" w:eastAsia="Arial" w:hAnsi="Arial" w:cs="Arial"/>
          <w:sz w:val="20"/>
          <w:szCs w:val="20"/>
        </w:rPr>
        <w:t xml:space="preserve"> </w:t>
      </w:r>
      <w:r w:rsidR="00C75EC6" w:rsidRPr="00A966B9">
        <w:rPr>
          <w:rFonts w:ascii="Arial" w:eastAsia="Arial" w:hAnsi="Arial" w:cs="Arial"/>
          <w:sz w:val="20"/>
          <w:szCs w:val="20"/>
        </w:rPr>
        <w:t>up in una specifica</w:t>
      </w:r>
      <w:r>
        <w:rPr>
          <w:rFonts w:ascii="Arial" w:eastAsia="Arial" w:hAnsi="Arial" w:cs="Arial"/>
          <w:sz w:val="20"/>
          <w:szCs w:val="20"/>
        </w:rPr>
        <w:t xml:space="preserve"> </w:t>
      </w:r>
      <w:r w:rsidR="00C75EC6" w:rsidRPr="00A966B9">
        <w:rPr>
          <w:rFonts w:ascii="Arial" w:eastAsia="Arial" w:hAnsi="Arial" w:cs="Arial"/>
          <w:b/>
          <w:bCs/>
          <w:sz w:val="20"/>
          <w:szCs w:val="20"/>
        </w:rPr>
        <w:t>riserva patrimoniale non distribuibile</w:t>
      </w:r>
      <w:r w:rsidR="00C75EC6" w:rsidRPr="00A966B9">
        <w:rPr>
          <w:rFonts w:ascii="Arial" w:eastAsia="Arial" w:hAnsi="Arial" w:cs="Arial"/>
          <w:sz w:val="20"/>
          <w:szCs w:val="20"/>
        </w:rPr>
        <w:t>, espressamente destinata a un futuro aumento di capitale</w:t>
      </w:r>
      <w:r>
        <w:rPr>
          <w:rFonts w:ascii="Arial" w:eastAsia="Arial" w:hAnsi="Arial" w:cs="Arial"/>
          <w:sz w:val="20"/>
          <w:szCs w:val="20"/>
        </w:rPr>
        <w:t>;</w:t>
      </w:r>
    </w:p>
    <w:p w14:paraId="59CF4D55" w14:textId="7343265E" w:rsidR="00C75EC6" w:rsidRPr="00A966B9" w:rsidRDefault="00A966B9" w:rsidP="00A966B9">
      <w:pPr>
        <w:pStyle w:val="Paragrafoelenco"/>
        <w:numPr>
          <w:ilvl w:val="0"/>
          <w:numId w:val="30"/>
        </w:numPr>
        <w:pBdr>
          <w:top w:val="nil"/>
          <w:left w:val="nil"/>
          <w:bottom w:val="nil"/>
          <w:right w:val="nil"/>
          <w:between w:val="nil"/>
        </w:pBdr>
        <w:shd w:val="clear" w:color="auto" w:fill="FFFFFF"/>
        <w:spacing w:after="0" w:line="300" w:lineRule="atLeast"/>
        <w:ind w:leftChars="0" w:left="357" w:firstLineChars="0" w:hanging="357"/>
        <w:jc w:val="both"/>
        <w:rPr>
          <w:rFonts w:ascii="Arial" w:eastAsia="Arial" w:hAnsi="Arial" w:cs="Arial"/>
          <w:sz w:val="20"/>
          <w:szCs w:val="20"/>
        </w:rPr>
      </w:pPr>
      <w:r>
        <w:rPr>
          <w:rFonts w:ascii="Arial" w:eastAsia="Arial" w:hAnsi="Arial" w:cs="Arial"/>
          <w:b/>
          <w:bCs/>
          <w:sz w:val="20"/>
          <w:szCs w:val="20"/>
        </w:rPr>
        <w:t>a</w:t>
      </w:r>
      <w:r w:rsidR="00C75EC6" w:rsidRPr="00A966B9">
        <w:rPr>
          <w:rFonts w:ascii="Arial" w:eastAsia="Arial" w:hAnsi="Arial" w:cs="Arial"/>
          <w:b/>
          <w:bCs/>
          <w:sz w:val="20"/>
          <w:szCs w:val="20"/>
        </w:rPr>
        <w:t>dempimenti formali</w:t>
      </w:r>
      <w:r w:rsidR="00C75EC6" w:rsidRPr="00A966B9">
        <w:rPr>
          <w:rFonts w:ascii="Arial" w:eastAsia="Arial" w:hAnsi="Arial" w:cs="Arial"/>
          <w:sz w:val="20"/>
          <w:szCs w:val="20"/>
        </w:rPr>
        <w:t>:</w:t>
      </w:r>
      <w:r w:rsidRPr="00A966B9">
        <w:rPr>
          <w:rFonts w:ascii="Arial" w:eastAsia="Arial" w:hAnsi="Arial" w:cs="Arial"/>
          <w:sz w:val="20"/>
          <w:szCs w:val="20"/>
        </w:rPr>
        <w:t xml:space="preserve"> </w:t>
      </w:r>
      <w:r w:rsidR="00C75EC6" w:rsidRPr="00A966B9">
        <w:rPr>
          <w:rFonts w:ascii="Arial" w:eastAsia="Arial" w:hAnsi="Arial" w:cs="Arial"/>
          <w:sz w:val="20"/>
          <w:szCs w:val="20"/>
        </w:rPr>
        <w:t>deve essere effettuata l’istanza preventiva da parte del legale rappresentante della start</w:t>
      </w:r>
      <w:r>
        <w:rPr>
          <w:rFonts w:ascii="Arial" w:eastAsia="Arial" w:hAnsi="Arial" w:cs="Arial"/>
          <w:sz w:val="20"/>
          <w:szCs w:val="20"/>
        </w:rPr>
        <w:t xml:space="preserve"> </w:t>
      </w:r>
      <w:r w:rsidR="00C75EC6" w:rsidRPr="00A966B9">
        <w:rPr>
          <w:rFonts w:ascii="Arial" w:eastAsia="Arial" w:hAnsi="Arial" w:cs="Arial"/>
          <w:sz w:val="20"/>
          <w:szCs w:val="20"/>
        </w:rPr>
        <w:t>up sulla piattaforma del MIMIT per la verifica della capienza del</w:t>
      </w:r>
      <w:r>
        <w:rPr>
          <w:rFonts w:ascii="Arial" w:eastAsia="Arial" w:hAnsi="Arial" w:cs="Arial"/>
          <w:sz w:val="20"/>
          <w:szCs w:val="20"/>
        </w:rPr>
        <w:t xml:space="preserve"> </w:t>
      </w:r>
      <w:r w:rsidR="00C75EC6" w:rsidRPr="00A966B9">
        <w:rPr>
          <w:rFonts w:ascii="Arial" w:eastAsia="Arial" w:hAnsi="Arial" w:cs="Arial"/>
          <w:i/>
          <w:iCs/>
          <w:sz w:val="20"/>
          <w:szCs w:val="20"/>
        </w:rPr>
        <w:t xml:space="preserve">plafond de </w:t>
      </w:r>
      <w:proofErr w:type="spellStart"/>
      <w:r w:rsidR="00C75EC6" w:rsidRPr="00A966B9">
        <w:rPr>
          <w:rFonts w:ascii="Arial" w:eastAsia="Arial" w:hAnsi="Arial" w:cs="Arial"/>
          <w:i/>
          <w:iCs/>
          <w:sz w:val="20"/>
          <w:szCs w:val="20"/>
        </w:rPr>
        <w:t>minimis</w:t>
      </w:r>
      <w:proofErr w:type="spellEnd"/>
      <w:r w:rsidR="00C75EC6" w:rsidRPr="00A966B9">
        <w:rPr>
          <w:rFonts w:ascii="Arial" w:eastAsia="Arial" w:hAnsi="Arial" w:cs="Arial"/>
          <w:sz w:val="20"/>
          <w:szCs w:val="20"/>
        </w:rPr>
        <w:t>.</w:t>
      </w:r>
    </w:p>
    <w:p w14:paraId="00D69B90" w14:textId="4B6C8000" w:rsidR="00C75EC6" w:rsidRPr="00A966B9" w:rsidRDefault="00C75EC6" w:rsidP="00A966B9">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A966B9">
        <w:rPr>
          <w:rFonts w:ascii="Arial" w:eastAsia="Arial" w:hAnsi="Arial" w:cs="Arial"/>
          <w:sz w:val="20"/>
          <w:szCs w:val="20"/>
        </w:rPr>
        <w:t>Il beneficio maturato</w:t>
      </w:r>
      <w:r w:rsidR="00A966B9">
        <w:rPr>
          <w:rFonts w:ascii="Arial" w:eastAsia="Arial" w:hAnsi="Arial" w:cs="Arial"/>
          <w:sz w:val="20"/>
          <w:szCs w:val="20"/>
        </w:rPr>
        <w:t xml:space="preserve"> </w:t>
      </w:r>
      <w:r w:rsidRPr="00A966B9">
        <w:rPr>
          <w:rFonts w:ascii="Arial" w:eastAsia="Arial" w:hAnsi="Arial" w:cs="Arial"/>
          <w:b/>
          <w:bCs/>
          <w:sz w:val="20"/>
          <w:szCs w:val="20"/>
        </w:rPr>
        <w:t>non decade</w:t>
      </w:r>
      <w:r w:rsidR="00A966B9">
        <w:rPr>
          <w:rFonts w:ascii="Arial" w:eastAsia="Arial" w:hAnsi="Arial" w:cs="Arial"/>
          <w:sz w:val="20"/>
          <w:szCs w:val="20"/>
        </w:rPr>
        <w:t xml:space="preserve"> </w:t>
      </w:r>
      <w:r w:rsidRPr="00A966B9">
        <w:rPr>
          <w:rFonts w:ascii="Arial" w:eastAsia="Arial" w:hAnsi="Arial" w:cs="Arial"/>
          <w:sz w:val="20"/>
          <w:szCs w:val="20"/>
        </w:rPr>
        <w:t>qualora la riserva venga successivamente intaccata a copertura di fisiologiche perdite d’esercizio della start</w:t>
      </w:r>
      <w:r w:rsidR="00A966B9">
        <w:rPr>
          <w:rFonts w:ascii="Arial" w:eastAsia="Arial" w:hAnsi="Arial" w:cs="Arial"/>
          <w:sz w:val="20"/>
          <w:szCs w:val="20"/>
        </w:rPr>
        <w:t xml:space="preserve"> </w:t>
      </w:r>
      <w:r w:rsidRPr="00A966B9">
        <w:rPr>
          <w:rFonts w:ascii="Arial" w:eastAsia="Arial" w:hAnsi="Arial" w:cs="Arial"/>
          <w:sz w:val="20"/>
          <w:szCs w:val="20"/>
        </w:rPr>
        <w:t>up. L’unica fattispecie che determina la perdita dell’agevolazione è la restituzione effettiva delle somme all’investitore prima del termine del triennio di mantenimento (</w:t>
      </w:r>
      <w:r w:rsidRPr="00A966B9">
        <w:rPr>
          <w:rFonts w:ascii="Arial" w:eastAsia="Arial" w:hAnsi="Arial" w:cs="Arial"/>
          <w:i/>
          <w:iCs/>
          <w:sz w:val="20"/>
          <w:szCs w:val="20"/>
        </w:rPr>
        <w:t xml:space="preserve">holding </w:t>
      </w:r>
      <w:proofErr w:type="spellStart"/>
      <w:r w:rsidRPr="00A966B9">
        <w:rPr>
          <w:rFonts w:ascii="Arial" w:eastAsia="Arial" w:hAnsi="Arial" w:cs="Arial"/>
          <w:i/>
          <w:iCs/>
          <w:sz w:val="20"/>
          <w:szCs w:val="20"/>
        </w:rPr>
        <w:t>period</w:t>
      </w:r>
      <w:proofErr w:type="spellEnd"/>
      <w:r w:rsidRPr="00A966B9">
        <w:rPr>
          <w:rFonts w:ascii="Arial" w:eastAsia="Arial" w:hAnsi="Arial" w:cs="Arial"/>
          <w:sz w:val="20"/>
          <w:szCs w:val="20"/>
        </w:rPr>
        <w:t>).</w:t>
      </w:r>
    </w:p>
    <w:p w14:paraId="48239711" w14:textId="483A624C" w:rsidR="00C75EC6" w:rsidRPr="00A966B9" w:rsidRDefault="00C75EC6" w:rsidP="00A966B9">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A966B9">
        <w:rPr>
          <w:rFonts w:ascii="Arial" w:eastAsia="Arial" w:hAnsi="Arial" w:cs="Arial"/>
          <w:sz w:val="20"/>
          <w:szCs w:val="20"/>
        </w:rPr>
        <w:t xml:space="preserve">La posizione espressa nella </w:t>
      </w:r>
      <w:r w:rsidR="00E70FC3">
        <w:rPr>
          <w:rFonts w:ascii="Arial" w:eastAsia="Arial" w:hAnsi="Arial" w:cs="Arial"/>
          <w:sz w:val="20"/>
          <w:szCs w:val="20"/>
        </w:rPr>
        <w:t>r</w:t>
      </w:r>
      <w:r w:rsidRPr="00A966B9">
        <w:rPr>
          <w:rFonts w:ascii="Arial" w:eastAsia="Arial" w:hAnsi="Arial" w:cs="Arial"/>
          <w:sz w:val="20"/>
          <w:szCs w:val="20"/>
        </w:rPr>
        <w:t xml:space="preserve">isposta n. 137/2026 supera definitivamente il quadro di incertezza documentato nei lavori parlamentari dell’inizio del 2025. In quel periodo, un’applicazione rigida del </w:t>
      </w:r>
      <w:r w:rsidR="00E70FC3">
        <w:rPr>
          <w:rFonts w:ascii="Arial" w:eastAsia="Arial" w:hAnsi="Arial" w:cs="Arial"/>
          <w:sz w:val="20"/>
          <w:szCs w:val="20"/>
        </w:rPr>
        <w:t>d</w:t>
      </w:r>
      <w:r w:rsidRPr="00A966B9">
        <w:rPr>
          <w:rFonts w:ascii="Arial" w:eastAsia="Arial" w:hAnsi="Arial" w:cs="Arial"/>
          <w:sz w:val="20"/>
          <w:szCs w:val="20"/>
        </w:rPr>
        <w:t xml:space="preserve">ecreto </w:t>
      </w:r>
      <w:r w:rsidR="00E70FC3">
        <w:rPr>
          <w:rFonts w:ascii="Arial" w:eastAsia="Arial" w:hAnsi="Arial" w:cs="Arial"/>
          <w:sz w:val="20"/>
          <w:szCs w:val="20"/>
        </w:rPr>
        <w:t>i</w:t>
      </w:r>
      <w:r w:rsidRPr="00A966B9">
        <w:rPr>
          <w:rFonts w:ascii="Arial" w:eastAsia="Arial" w:hAnsi="Arial" w:cs="Arial"/>
          <w:sz w:val="20"/>
          <w:szCs w:val="20"/>
        </w:rPr>
        <w:t>nterministeriale 28 dicembre 2020, spesso confermata dal MEF in risposta a interrogazioni in Commissione Finanze, ancorava la maturazione del diritto alla</w:t>
      </w:r>
      <w:r w:rsidR="00E70FC3">
        <w:rPr>
          <w:rFonts w:ascii="Arial" w:eastAsia="Arial" w:hAnsi="Arial" w:cs="Arial"/>
          <w:sz w:val="20"/>
          <w:szCs w:val="20"/>
        </w:rPr>
        <w:t xml:space="preserve"> </w:t>
      </w:r>
      <w:r w:rsidRPr="00A966B9">
        <w:rPr>
          <w:rFonts w:ascii="Arial" w:eastAsia="Arial" w:hAnsi="Arial" w:cs="Arial"/>
          <w:b/>
          <w:bCs/>
          <w:sz w:val="20"/>
          <w:szCs w:val="20"/>
        </w:rPr>
        <w:t>formale esecuzione della conversione in capitale sociale</w:t>
      </w:r>
      <w:r w:rsidRPr="00A966B9">
        <w:rPr>
          <w:rFonts w:ascii="Arial" w:eastAsia="Arial" w:hAnsi="Arial" w:cs="Arial"/>
          <w:sz w:val="20"/>
          <w:szCs w:val="20"/>
        </w:rPr>
        <w:t>.</w:t>
      </w:r>
    </w:p>
    <w:p w14:paraId="186755B3" w14:textId="77777777" w:rsidR="00C75EC6" w:rsidRPr="00A966B9" w:rsidRDefault="00C75EC6" w:rsidP="00A966B9">
      <w:pPr>
        <w:pBdr>
          <w:top w:val="nil"/>
          <w:left w:val="nil"/>
          <w:bottom w:val="nil"/>
          <w:right w:val="nil"/>
          <w:between w:val="nil"/>
        </w:pBdr>
        <w:shd w:val="clear" w:color="auto" w:fill="FFFFFF"/>
        <w:spacing w:line="300" w:lineRule="atLeast"/>
        <w:ind w:left="0" w:hanging="2"/>
        <w:jc w:val="both"/>
        <w:rPr>
          <w:rFonts w:ascii="Arial" w:eastAsia="Arial" w:hAnsi="Arial" w:cs="Arial"/>
          <w:sz w:val="20"/>
          <w:szCs w:val="20"/>
        </w:rPr>
      </w:pPr>
      <w:r w:rsidRPr="00A966B9">
        <w:rPr>
          <w:rFonts w:ascii="Arial" w:eastAsia="Arial" w:hAnsi="Arial" w:cs="Arial"/>
          <w:sz w:val="20"/>
          <w:szCs w:val="20"/>
        </w:rPr>
        <w:t>Secondo l’impostazione precedente (</w:t>
      </w:r>
      <w:r w:rsidRPr="00A966B9">
        <w:rPr>
          <w:rFonts w:ascii="Arial" w:eastAsia="Arial" w:hAnsi="Arial" w:cs="Arial"/>
          <w:b/>
          <w:bCs/>
          <w:sz w:val="20"/>
          <w:szCs w:val="20"/>
        </w:rPr>
        <w:t>oggi del tutto superata</w:t>
      </w:r>
      <w:r w:rsidRPr="00A966B9">
        <w:rPr>
          <w:rFonts w:ascii="Arial" w:eastAsia="Arial" w:hAnsi="Arial" w:cs="Arial"/>
          <w:sz w:val="20"/>
          <w:szCs w:val="20"/>
        </w:rPr>
        <w:t>):</w:t>
      </w:r>
    </w:p>
    <w:p w14:paraId="4F4F646E" w14:textId="335F9B80" w:rsidR="00C75EC6" w:rsidRPr="00E70FC3" w:rsidRDefault="00C75EC6" w:rsidP="00E70FC3">
      <w:pPr>
        <w:pStyle w:val="Paragrafoelenco"/>
        <w:numPr>
          <w:ilvl w:val="0"/>
          <w:numId w:val="31"/>
        </w:numPr>
        <w:pBdr>
          <w:top w:val="nil"/>
          <w:left w:val="nil"/>
          <w:bottom w:val="nil"/>
          <w:right w:val="nil"/>
          <w:between w:val="nil"/>
        </w:pBdr>
        <w:shd w:val="clear" w:color="auto" w:fill="FFFFFF"/>
        <w:spacing w:line="300" w:lineRule="atLeast"/>
        <w:ind w:leftChars="0" w:firstLineChars="0"/>
        <w:jc w:val="both"/>
        <w:rPr>
          <w:rFonts w:ascii="Arial" w:eastAsia="Arial" w:hAnsi="Arial" w:cs="Arial"/>
          <w:sz w:val="20"/>
          <w:szCs w:val="20"/>
        </w:rPr>
      </w:pPr>
      <w:r w:rsidRPr="00E70FC3">
        <w:rPr>
          <w:rFonts w:ascii="Arial" w:eastAsia="Arial" w:hAnsi="Arial" w:cs="Arial"/>
          <w:b/>
          <w:bCs/>
          <w:sz w:val="20"/>
          <w:szCs w:val="20"/>
        </w:rPr>
        <w:t>il semplice versamento non bastava</w:t>
      </w:r>
      <w:r w:rsidRPr="00E70FC3">
        <w:rPr>
          <w:rFonts w:ascii="Arial" w:eastAsia="Arial" w:hAnsi="Arial" w:cs="Arial"/>
          <w:sz w:val="20"/>
          <w:szCs w:val="20"/>
        </w:rPr>
        <w:t>:</w:t>
      </w:r>
      <w:r w:rsidR="00E70FC3">
        <w:rPr>
          <w:rFonts w:ascii="Arial" w:eastAsia="Arial" w:hAnsi="Arial" w:cs="Arial"/>
          <w:sz w:val="20"/>
          <w:szCs w:val="20"/>
        </w:rPr>
        <w:t xml:space="preserve"> </w:t>
      </w:r>
      <w:r w:rsidRPr="00E70FC3">
        <w:rPr>
          <w:rFonts w:ascii="Arial" w:eastAsia="Arial" w:hAnsi="Arial" w:cs="Arial"/>
          <w:sz w:val="20"/>
          <w:szCs w:val="20"/>
        </w:rPr>
        <w:t>il bonifico eseguito in esecuzione del contratto SAFE non consentiva di fruire della detrazione nell’anno d’imposta in cui avveniva il flusso finanziario</w:t>
      </w:r>
      <w:r w:rsidR="00E70FC3">
        <w:rPr>
          <w:rFonts w:ascii="Arial" w:eastAsia="Arial" w:hAnsi="Arial" w:cs="Arial"/>
          <w:sz w:val="20"/>
          <w:szCs w:val="20"/>
        </w:rPr>
        <w:t>;</w:t>
      </w:r>
    </w:p>
    <w:p w14:paraId="33CCB6D7" w14:textId="5EA5DCE8" w:rsidR="00C75EC6" w:rsidRPr="00E70FC3" w:rsidRDefault="00C75EC6" w:rsidP="00E70FC3">
      <w:pPr>
        <w:pStyle w:val="Paragrafoelenco"/>
        <w:numPr>
          <w:ilvl w:val="0"/>
          <w:numId w:val="31"/>
        </w:numPr>
        <w:pBdr>
          <w:top w:val="nil"/>
          <w:left w:val="nil"/>
          <w:bottom w:val="nil"/>
          <w:right w:val="nil"/>
          <w:between w:val="nil"/>
        </w:pBdr>
        <w:shd w:val="clear" w:color="auto" w:fill="FFFFFF"/>
        <w:spacing w:line="300" w:lineRule="atLeast"/>
        <w:ind w:leftChars="0" w:firstLineChars="0"/>
        <w:jc w:val="both"/>
        <w:rPr>
          <w:rFonts w:ascii="Arial" w:eastAsia="Arial" w:hAnsi="Arial" w:cs="Arial"/>
          <w:sz w:val="20"/>
          <w:szCs w:val="20"/>
        </w:rPr>
      </w:pPr>
      <w:r w:rsidRPr="00E70FC3">
        <w:rPr>
          <w:rFonts w:ascii="Arial" w:eastAsia="Arial" w:hAnsi="Arial" w:cs="Arial"/>
          <w:b/>
          <w:bCs/>
          <w:sz w:val="20"/>
          <w:szCs w:val="20"/>
        </w:rPr>
        <w:t>dipendenza dall’evento</w:t>
      </w:r>
      <w:r w:rsidR="00E70FC3">
        <w:rPr>
          <w:rFonts w:ascii="Arial" w:eastAsia="Arial" w:hAnsi="Arial" w:cs="Arial"/>
          <w:b/>
          <w:bCs/>
          <w:sz w:val="20"/>
          <w:szCs w:val="20"/>
        </w:rPr>
        <w:t xml:space="preserve"> </w:t>
      </w:r>
      <w:r w:rsidRPr="00E70FC3">
        <w:rPr>
          <w:rFonts w:ascii="Arial" w:eastAsia="Arial" w:hAnsi="Arial" w:cs="Arial"/>
          <w:b/>
          <w:bCs/>
          <w:i/>
          <w:iCs/>
          <w:sz w:val="20"/>
          <w:szCs w:val="20"/>
        </w:rPr>
        <w:t>trigger</w:t>
      </w:r>
      <w:r w:rsidRPr="00E70FC3">
        <w:rPr>
          <w:rFonts w:ascii="Arial" w:eastAsia="Arial" w:hAnsi="Arial" w:cs="Arial"/>
          <w:sz w:val="20"/>
          <w:szCs w:val="20"/>
        </w:rPr>
        <w:t>:</w:t>
      </w:r>
      <w:r w:rsidR="00E70FC3" w:rsidRPr="00E70FC3">
        <w:rPr>
          <w:rFonts w:ascii="Arial" w:eastAsia="Arial" w:hAnsi="Arial" w:cs="Arial"/>
          <w:sz w:val="20"/>
          <w:szCs w:val="20"/>
        </w:rPr>
        <w:t xml:space="preserve"> </w:t>
      </w:r>
      <w:r w:rsidRPr="00E70FC3">
        <w:rPr>
          <w:rFonts w:ascii="Arial" w:eastAsia="Arial" w:hAnsi="Arial" w:cs="Arial"/>
          <w:sz w:val="20"/>
          <w:szCs w:val="20"/>
        </w:rPr>
        <w:t>l’investitore era vincolato ad attendere la delibera di aumento di capitale e la successiva assegnazione delle quote societarie. Ciò generava un sensibile disallineamento temporale, e un disincentivo operativo, tra il momento dell’impegno economico e la fruizione della detrazione in dichiarazione dei redditi.</w:t>
      </w:r>
    </w:p>
    <w:p w14:paraId="47E2E833" w14:textId="77777777" w:rsidR="00792D9F" w:rsidRPr="00A966B9" w:rsidRDefault="00792D9F" w:rsidP="00A966B9">
      <w:pPr>
        <w:pBdr>
          <w:top w:val="nil"/>
          <w:left w:val="nil"/>
          <w:bottom w:val="nil"/>
          <w:right w:val="nil"/>
          <w:between w:val="nil"/>
        </w:pBdr>
        <w:shd w:val="clear" w:color="auto" w:fill="FFFFFF"/>
        <w:spacing w:line="300" w:lineRule="atLeast"/>
        <w:ind w:left="0" w:hanging="2"/>
        <w:jc w:val="both"/>
        <w:rPr>
          <w:rFonts w:ascii="Arial" w:eastAsia="Arial" w:hAnsi="Arial" w:cs="Arial"/>
          <w:color w:val="000000"/>
          <w:sz w:val="20"/>
          <w:szCs w:val="20"/>
        </w:rPr>
      </w:pPr>
    </w:p>
    <w:p w14:paraId="66F2C47E" w14:textId="77777777" w:rsidR="00792D9F" w:rsidRPr="00A966B9" w:rsidRDefault="00792D9F" w:rsidP="00A966B9">
      <w:pPr>
        <w:pBdr>
          <w:top w:val="nil"/>
          <w:left w:val="nil"/>
          <w:bottom w:val="nil"/>
          <w:right w:val="nil"/>
          <w:between w:val="nil"/>
        </w:pBdr>
        <w:spacing w:line="300" w:lineRule="atLeast"/>
        <w:ind w:left="0" w:right="-30" w:hanging="2"/>
        <w:jc w:val="both"/>
        <w:rPr>
          <w:rFonts w:ascii="Arial" w:eastAsia="Arial" w:hAnsi="Arial" w:cs="Arial"/>
          <w:color w:val="000000"/>
          <w:sz w:val="20"/>
          <w:szCs w:val="20"/>
        </w:rPr>
      </w:pPr>
    </w:p>
    <w:p w14:paraId="2349D676" w14:textId="4DEB91C6" w:rsidR="00E70FC3" w:rsidRPr="004A48E4" w:rsidRDefault="004A48E4" w:rsidP="004A48E4">
      <w:pPr>
        <w:shd w:val="clear" w:color="auto" w:fill="FFFFFF"/>
        <w:spacing w:line="300" w:lineRule="atLeast"/>
        <w:ind w:left="0" w:hanging="2"/>
        <w:jc w:val="both"/>
        <w:rPr>
          <w:rFonts w:ascii="Calibri" w:eastAsia="Aptos" w:hAnsi="Calibri" w:cs="Arial"/>
          <w:color w:val="0F0F0F"/>
          <w:kern w:val="2"/>
          <w:sz w:val="22"/>
          <w:szCs w:val="22"/>
          <w:lang w:eastAsia="en-US"/>
        </w:rPr>
      </w:pPr>
      <w:r w:rsidRPr="004A48E4">
        <w:rPr>
          <w:rFonts w:ascii="Calibri" w:eastAsia="Aptos" w:hAnsi="Calibri" w:cs="Arial"/>
          <w:color w:val="0F0F0F"/>
          <w:kern w:val="2"/>
          <w:sz w:val="22"/>
          <w:szCs w:val="22"/>
          <w:lang w:eastAsia="en-US"/>
        </w:rPr>
        <w:t>IMPRESE, PROFESSIONISTI</w:t>
      </w:r>
    </w:p>
    <w:p w14:paraId="70ABDE4E" w14:textId="77777777" w:rsidR="005239AB" w:rsidRPr="00E70FC3" w:rsidRDefault="005239AB" w:rsidP="00E70FC3">
      <w:pPr>
        <w:shd w:val="clear" w:color="auto" w:fill="FFFFFF"/>
        <w:spacing w:line="300" w:lineRule="atLeast"/>
        <w:ind w:left="0" w:hanging="2"/>
        <w:jc w:val="both"/>
        <w:rPr>
          <w:rFonts w:ascii="Arial" w:eastAsia="Arial" w:hAnsi="Arial" w:cs="Arial"/>
          <w:b/>
          <w:color w:val="0F0F0F"/>
          <w:sz w:val="20"/>
          <w:szCs w:val="20"/>
        </w:rPr>
      </w:pPr>
      <w:proofErr w:type="gramStart"/>
      <w:r w:rsidRPr="00E70FC3">
        <w:rPr>
          <w:rFonts w:ascii="Arial" w:eastAsia="Arial" w:hAnsi="Arial" w:cs="Arial"/>
          <w:b/>
          <w:color w:val="0F0F0F"/>
          <w:sz w:val="20"/>
          <w:szCs w:val="20"/>
        </w:rPr>
        <w:t>AI</w:t>
      </w:r>
      <w:proofErr w:type="gramEnd"/>
      <w:r w:rsidRPr="00E70FC3">
        <w:rPr>
          <w:rFonts w:ascii="Arial" w:eastAsia="Arial" w:hAnsi="Arial" w:cs="Arial"/>
          <w:b/>
          <w:color w:val="0F0F0F"/>
          <w:sz w:val="20"/>
          <w:szCs w:val="20"/>
        </w:rPr>
        <w:t xml:space="preserve"> Act: dal 2 agosto operativi gli obblighi di trasparenza per imprese e professionisti</w:t>
      </w:r>
    </w:p>
    <w:p w14:paraId="1096A9B0" w14:textId="3778F1BC" w:rsidR="004A48E4" w:rsidRPr="004A48E4" w:rsidRDefault="004A48E4" w:rsidP="00E70FC3">
      <w:pPr>
        <w:pBdr>
          <w:top w:val="nil"/>
          <w:left w:val="nil"/>
          <w:bottom w:val="nil"/>
          <w:right w:val="nil"/>
          <w:between w:val="nil"/>
        </w:pBdr>
        <w:shd w:val="clear" w:color="auto" w:fill="FFFFFF"/>
        <w:spacing w:line="300" w:lineRule="atLeast"/>
        <w:ind w:left="0" w:hanging="2"/>
        <w:jc w:val="both"/>
        <w:rPr>
          <w:rFonts w:ascii="Arial" w:eastAsia="Arial" w:hAnsi="Arial" w:cs="Arial"/>
          <w:i/>
          <w:iCs/>
          <w:color w:val="0F0F0F"/>
          <w:sz w:val="20"/>
          <w:szCs w:val="20"/>
        </w:rPr>
      </w:pPr>
      <w:r w:rsidRPr="004A48E4">
        <w:rPr>
          <w:rFonts w:ascii="Arial" w:eastAsia="Arial" w:hAnsi="Arial" w:cs="Arial"/>
          <w:i/>
          <w:iCs/>
          <w:color w:val="0F0F0F"/>
          <w:sz w:val="20"/>
          <w:szCs w:val="20"/>
        </w:rPr>
        <w:t xml:space="preserve">Commissione Europea, </w:t>
      </w:r>
      <w:r w:rsidRPr="004A48E4">
        <w:rPr>
          <w:rFonts w:ascii="Arial" w:eastAsia="Arial" w:hAnsi="Arial" w:cs="Arial"/>
          <w:i/>
          <w:iCs/>
          <w:sz w:val="20"/>
          <w:szCs w:val="20"/>
        </w:rPr>
        <w:t>Codice di condotta sulla marcatura e l’etichettatura dei contenuti generati dall’IA</w:t>
      </w:r>
    </w:p>
    <w:p w14:paraId="3E5AC2F8" w14:textId="10F1354E" w:rsidR="005239AB" w:rsidRPr="00E70FC3" w:rsidRDefault="005239AB" w:rsidP="00E70FC3">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E70FC3">
        <w:rPr>
          <w:rFonts w:ascii="Arial" w:eastAsia="Arial" w:hAnsi="Arial" w:cs="Arial"/>
          <w:color w:val="0F0F0F"/>
          <w:sz w:val="20"/>
          <w:szCs w:val="20"/>
        </w:rPr>
        <w:t>Dal 2 agosto 2026 sono entrati in vigore gli obblighi di trasparenza previsti dall’art. 50 del Regolamento UE 2024/1689, noto come “AI Act”, che impongono nuove responsabilità a fornitori e utilizzatori di sistemi di intelligenza artificiale. Le disposizioni mirano a garantire che le persone fisiche siano pienamente informate quando interagiscono con tali tecnologie.</w:t>
      </w:r>
    </w:p>
    <w:p w14:paraId="3AF68AE5" w14:textId="77777777" w:rsidR="005239AB" w:rsidRPr="00E70FC3" w:rsidRDefault="005239AB" w:rsidP="00E70FC3">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E70FC3">
        <w:rPr>
          <w:rFonts w:ascii="Arial" w:eastAsia="Arial" w:hAnsi="Arial" w:cs="Arial"/>
          <w:color w:val="0F0F0F"/>
          <w:sz w:val="20"/>
          <w:szCs w:val="20"/>
        </w:rPr>
        <w:t xml:space="preserve">I fornitori di sistemi di IA progettati per interagire direttamente con utenti umani hanno l’onere di sviluppare soluzioni che rendano palese l’interazione artificiale. Parallelamente, chi sviluppa sistemi capaci di generare contenuti sintetici – audio, immagini, video o testo – è tenuto alla </w:t>
      </w:r>
      <w:r w:rsidRPr="00E70FC3">
        <w:rPr>
          <w:rFonts w:ascii="Arial" w:eastAsia="Arial" w:hAnsi="Arial" w:cs="Arial"/>
          <w:b/>
          <w:bCs/>
          <w:color w:val="0F0F0F"/>
          <w:sz w:val="20"/>
          <w:szCs w:val="20"/>
        </w:rPr>
        <w:t>marcatura degli output</w:t>
      </w:r>
      <w:r w:rsidRPr="00E70FC3">
        <w:rPr>
          <w:rFonts w:ascii="Arial" w:eastAsia="Arial" w:hAnsi="Arial" w:cs="Arial"/>
          <w:color w:val="0F0F0F"/>
          <w:sz w:val="20"/>
          <w:szCs w:val="20"/>
        </w:rPr>
        <w:t xml:space="preserve"> in un formato leggibile meccanicamente. Una particolare attenzione è dedicata ai contenuti “deepfake” o a testi diffusi per informare il pubblico su questioni di interesse generale: in questi casi, è obbligatorio </w:t>
      </w:r>
      <w:r w:rsidRPr="00E70FC3">
        <w:rPr>
          <w:rFonts w:ascii="Arial" w:eastAsia="Arial" w:hAnsi="Arial" w:cs="Arial"/>
          <w:b/>
          <w:bCs/>
          <w:color w:val="0F0F0F"/>
          <w:sz w:val="20"/>
          <w:szCs w:val="20"/>
        </w:rPr>
        <w:t>dichiarare in modo chiaro e percepibile l’origine artificiale del materiale</w:t>
      </w:r>
      <w:r w:rsidRPr="00E70FC3">
        <w:rPr>
          <w:rFonts w:ascii="Arial" w:eastAsia="Arial" w:hAnsi="Arial" w:cs="Arial"/>
          <w:color w:val="0F0F0F"/>
          <w:sz w:val="20"/>
          <w:szCs w:val="20"/>
        </w:rPr>
        <w:t>.</w:t>
      </w:r>
    </w:p>
    <w:p w14:paraId="1F3B5520" w14:textId="36EA9573" w:rsidR="005239AB" w:rsidRPr="00E70FC3" w:rsidRDefault="005239AB" w:rsidP="00E70FC3">
      <w:pPr>
        <w:pBdr>
          <w:top w:val="nil"/>
          <w:left w:val="nil"/>
          <w:bottom w:val="nil"/>
          <w:right w:val="nil"/>
          <w:between w:val="nil"/>
        </w:pBdr>
        <w:shd w:val="clear" w:color="auto" w:fill="FFFFFF"/>
        <w:spacing w:line="300" w:lineRule="atLeast"/>
        <w:ind w:left="0" w:hanging="2"/>
        <w:jc w:val="both"/>
        <w:rPr>
          <w:rFonts w:ascii="Arial" w:eastAsia="Arial" w:hAnsi="Arial" w:cs="Arial"/>
          <w:color w:val="0F0F0F"/>
          <w:sz w:val="20"/>
          <w:szCs w:val="20"/>
        </w:rPr>
      </w:pPr>
      <w:r w:rsidRPr="00E70FC3">
        <w:rPr>
          <w:rFonts w:ascii="Arial" w:eastAsia="Arial" w:hAnsi="Arial" w:cs="Arial"/>
          <w:color w:val="0F0F0F"/>
          <w:sz w:val="20"/>
          <w:szCs w:val="20"/>
        </w:rPr>
        <w:t>Per supportare il corretto adempimento, la Commissione Europea ha recentemente pubblicato il “</w:t>
      </w:r>
      <w:r w:rsidRPr="004A48E4">
        <w:rPr>
          <w:rFonts w:ascii="Arial" w:eastAsia="Arial" w:hAnsi="Arial" w:cs="Arial"/>
          <w:sz w:val="20"/>
          <w:szCs w:val="20"/>
        </w:rPr>
        <w:t>Codice di condotta sulla marcatura e l’etichettatura dei contenuti generati dall’IA</w:t>
      </w:r>
      <w:r w:rsidRPr="00E70FC3">
        <w:rPr>
          <w:rFonts w:ascii="Arial" w:eastAsia="Arial" w:hAnsi="Arial" w:cs="Arial"/>
          <w:color w:val="0F0F0F"/>
          <w:sz w:val="20"/>
          <w:szCs w:val="20"/>
        </w:rPr>
        <w:t>” e specifici orientamenti per i soggetti coinvolti. Queste misure sono fondamentali per allineare l’operatività aziendale ai nuovi standard di conformità digitale, minimizzando i rischi legali connessi all’utilizzo di strumenti di IA generativa nelle attività quotidiane. È necessario che le imprese che utilizzano software di ultima generazione verifichino tempestivamente le caratteristiche dei sistemi adottati per garantire la piena conformità alle nuove prescrizioni europee.</w:t>
      </w:r>
    </w:p>
    <w:p w14:paraId="38899D3E" w14:textId="77777777" w:rsidR="00792D9F" w:rsidRPr="00E70FC3" w:rsidRDefault="00792D9F" w:rsidP="00E70FC3">
      <w:pPr>
        <w:pBdr>
          <w:top w:val="nil"/>
          <w:left w:val="nil"/>
          <w:bottom w:val="nil"/>
          <w:right w:val="nil"/>
          <w:between w:val="nil"/>
        </w:pBdr>
        <w:shd w:val="clear" w:color="auto" w:fill="FFFFFF"/>
        <w:spacing w:line="300" w:lineRule="atLeast"/>
        <w:ind w:left="0" w:hanging="2"/>
        <w:jc w:val="both"/>
        <w:rPr>
          <w:rFonts w:ascii="Arial" w:eastAsia="Arial" w:hAnsi="Arial" w:cs="Arial"/>
          <w:color w:val="000000"/>
          <w:sz w:val="20"/>
          <w:szCs w:val="20"/>
        </w:rPr>
      </w:pPr>
    </w:p>
    <w:p w14:paraId="2344E5A0" w14:textId="61CB2653" w:rsidR="004A48E4" w:rsidRDefault="004A48E4" w:rsidP="00E70FC3">
      <w:pPr>
        <w:shd w:val="clear" w:color="auto" w:fill="FFFFFF"/>
        <w:spacing w:line="300" w:lineRule="atLeast"/>
        <w:ind w:left="0" w:hanging="2"/>
        <w:jc w:val="both"/>
        <w:rPr>
          <w:rFonts w:ascii="Arial" w:eastAsia="Arial" w:hAnsi="Arial" w:cs="Arial"/>
          <w:color w:val="0F0F0F"/>
          <w:sz w:val="20"/>
          <w:szCs w:val="20"/>
        </w:rPr>
      </w:pPr>
      <w:r>
        <w:rPr>
          <w:rFonts w:ascii="Arial" w:eastAsia="Arial" w:hAnsi="Arial" w:cs="Arial"/>
          <w:color w:val="0F0F0F"/>
          <w:sz w:val="20"/>
          <w:szCs w:val="20"/>
        </w:rPr>
        <w:br w:type="page"/>
      </w:r>
    </w:p>
    <w:p w14:paraId="2529FAA0" w14:textId="77777777" w:rsidR="00792D9F" w:rsidRPr="00E70FC3" w:rsidRDefault="00792D9F" w:rsidP="00E70FC3">
      <w:pPr>
        <w:shd w:val="clear" w:color="auto" w:fill="FFFFFF"/>
        <w:spacing w:line="300" w:lineRule="atLeast"/>
        <w:ind w:left="0" w:hanging="2"/>
        <w:jc w:val="both"/>
        <w:rPr>
          <w:rFonts w:ascii="Arial" w:eastAsia="Arial" w:hAnsi="Arial" w:cs="Arial"/>
          <w:color w:val="0F0F0F"/>
          <w:sz w:val="20"/>
          <w:szCs w:val="20"/>
        </w:rPr>
      </w:pPr>
    </w:p>
    <w:tbl>
      <w:tblPr>
        <w:tblStyle w:val="aff"/>
        <w:tblW w:w="9670" w:type="dxa"/>
        <w:tblInd w:w="0" w:type="dxa"/>
        <w:tblLayout w:type="fixed"/>
        <w:tblLook w:val="0000" w:firstRow="0" w:lastRow="0" w:firstColumn="0" w:lastColumn="0" w:noHBand="0" w:noVBand="0"/>
      </w:tblPr>
      <w:tblGrid>
        <w:gridCol w:w="9670"/>
      </w:tblGrid>
      <w:tr w:rsidR="00792D9F" w14:paraId="1ED0B8E6" w14:textId="77777777">
        <w:trPr>
          <w:trHeight w:val="567"/>
        </w:trPr>
        <w:tc>
          <w:tcPr>
            <w:tcW w:w="9670" w:type="dxa"/>
            <w:tcBorders>
              <w:bottom w:val="single" w:sz="4" w:space="0" w:color="366DB3"/>
            </w:tcBorders>
            <w:vAlign w:val="center"/>
          </w:tcPr>
          <w:p w14:paraId="56809B40" w14:textId="77777777" w:rsidR="00792D9F" w:rsidRDefault="00EB53B2">
            <w:pPr>
              <w:pBdr>
                <w:top w:val="nil"/>
                <w:left w:val="nil"/>
                <w:bottom w:val="nil"/>
                <w:right w:val="nil"/>
                <w:between w:val="nil"/>
              </w:pBdr>
              <w:spacing w:line="240" w:lineRule="auto"/>
              <w:ind w:left="1" w:right="-30" w:hanging="3"/>
              <w:jc w:val="center"/>
              <w:rPr>
                <w:rFonts w:ascii="Arial" w:eastAsia="Arial" w:hAnsi="Arial" w:cs="Arial"/>
                <w:b/>
                <w:color w:val="366DB3"/>
                <w:sz w:val="28"/>
                <w:szCs w:val="28"/>
              </w:rPr>
            </w:pPr>
            <w:r>
              <w:rPr>
                <w:rFonts w:ascii="Arial" w:eastAsia="Arial" w:hAnsi="Arial" w:cs="Arial"/>
                <w:b/>
                <w:color w:val="366DB3"/>
                <w:sz w:val="28"/>
                <w:szCs w:val="28"/>
              </w:rPr>
              <w:t>APPROFONDIMENTI</w:t>
            </w:r>
          </w:p>
        </w:tc>
      </w:tr>
    </w:tbl>
    <w:p w14:paraId="0F4DA46F" w14:textId="77777777" w:rsidR="00792D9F" w:rsidRPr="004A48E4" w:rsidRDefault="00792D9F" w:rsidP="004A48E4">
      <w:pPr>
        <w:shd w:val="clear" w:color="auto" w:fill="FFFFFF"/>
        <w:spacing w:line="300" w:lineRule="atLeast"/>
        <w:ind w:leftChars="0" w:left="0" w:firstLineChars="0" w:firstLine="0"/>
        <w:jc w:val="both"/>
        <w:rPr>
          <w:rFonts w:ascii="Arial" w:eastAsia="Arial" w:hAnsi="Arial" w:cs="Arial"/>
          <w:color w:val="0F0F0F"/>
          <w:sz w:val="20"/>
          <w:szCs w:val="20"/>
        </w:rPr>
      </w:pPr>
    </w:p>
    <w:p w14:paraId="24C7CE4A" w14:textId="77777777" w:rsidR="004A48E4" w:rsidRPr="00062B15" w:rsidRDefault="004A48E4" w:rsidP="004A48E4">
      <w:pPr>
        <w:shd w:val="clear" w:color="auto" w:fill="FFFFFF"/>
        <w:overflowPunct w:val="0"/>
        <w:autoSpaceDE w:val="0"/>
        <w:autoSpaceDN w:val="0"/>
        <w:adjustRightInd w:val="0"/>
        <w:spacing w:line="300" w:lineRule="atLeast"/>
        <w:ind w:left="0" w:hanging="2"/>
        <w:jc w:val="center"/>
        <w:textAlignment w:val="baseline"/>
        <w:rPr>
          <w:rFonts w:ascii="Calibri" w:eastAsia="Aptos" w:hAnsi="Calibri" w:cs="Arial"/>
          <w:color w:val="0F0F0F"/>
          <w:kern w:val="2"/>
          <w:sz w:val="22"/>
          <w:szCs w:val="22"/>
          <w:lang w:eastAsia="en-US"/>
        </w:rPr>
      </w:pPr>
      <w:r w:rsidRPr="00062B15">
        <w:rPr>
          <w:rFonts w:ascii="Calibri" w:eastAsia="Aptos" w:hAnsi="Calibri" w:cs="Arial"/>
          <w:color w:val="0F0F0F"/>
          <w:kern w:val="2"/>
          <w:sz w:val="22"/>
          <w:szCs w:val="22"/>
          <w:lang w:eastAsia="en-US"/>
        </w:rPr>
        <w:t>IVA</w:t>
      </w:r>
    </w:p>
    <w:p w14:paraId="2041BF3B" w14:textId="77777777" w:rsidR="004A48E4" w:rsidRPr="00062B15" w:rsidRDefault="004A48E4" w:rsidP="004A48E4">
      <w:pPr>
        <w:pBdr>
          <w:between w:val="nil"/>
        </w:pBdr>
        <w:spacing w:line="300" w:lineRule="atLeast"/>
        <w:ind w:left="0" w:hanging="2"/>
        <w:jc w:val="center"/>
        <w:rPr>
          <w:rFonts w:ascii="Arial" w:eastAsia="Arial" w:hAnsi="Arial" w:cs="Arial"/>
          <w:b/>
          <w:bCs/>
          <w:sz w:val="20"/>
          <w:szCs w:val="20"/>
        </w:rPr>
      </w:pPr>
      <w:r w:rsidRPr="00062B15">
        <w:rPr>
          <w:rFonts w:ascii="Arial" w:eastAsia="Arial" w:hAnsi="Arial" w:cs="Arial"/>
          <w:b/>
          <w:bCs/>
          <w:sz w:val="20"/>
          <w:szCs w:val="20"/>
        </w:rPr>
        <w:t>Riforma IVA: il nuovo Testo Unico in vigore dal 1° gennaio 2027</w:t>
      </w:r>
    </w:p>
    <w:p w14:paraId="155205D0" w14:textId="77777777" w:rsidR="004A48E4" w:rsidRPr="00062B15" w:rsidRDefault="004A48E4" w:rsidP="004A48E4">
      <w:pPr>
        <w:pBdr>
          <w:between w:val="nil"/>
        </w:pBdr>
        <w:spacing w:line="300" w:lineRule="atLeast"/>
        <w:ind w:left="0" w:hanging="2"/>
        <w:jc w:val="center"/>
        <w:rPr>
          <w:rFonts w:ascii="Arial" w:eastAsia="Arial" w:hAnsi="Arial" w:cs="Arial"/>
          <w:i/>
          <w:iCs/>
          <w:sz w:val="20"/>
          <w:szCs w:val="20"/>
        </w:rPr>
      </w:pPr>
      <w:proofErr w:type="spellStart"/>
      <w:r w:rsidRPr="00062B15">
        <w:rPr>
          <w:rFonts w:ascii="Arial" w:eastAsia="Arial" w:hAnsi="Arial" w:cs="Arial"/>
          <w:i/>
          <w:iCs/>
          <w:sz w:val="20"/>
          <w:szCs w:val="20"/>
        </w:rPr>
        <w:t>D.Lgs.</w:t>
      </w:r>
      <w:proofErr w:type="spellEnd"/>
      <w:r w:rsidRPr="00062B15">
        <w:rPr>
          <w:rFonts w:ascii="Arial" w:eastAsia="Arial" w:hAnsi="Arial" w:cs="Arial"/>
          <w:i/>
          <w:iCs/>
          <w:sz w:val="20"/>
          <w:szCs w:val="20"/>
        </w:rPr>
        <w:t xml:space="preserve"> 19 gennaio 2026, n. 10</w:t>
      </w:r>
    </w:p>
    <w:p w14:paraId="06B5CC11" w14:textId="77777777" w:rsidR="004A48E4" w:rsidRPr="00062B15" w:rsidRDefault="004A48E4" w:rsidP="004A48E4">
      <w:pPr>
        <w:pBdr>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 xml:space="preserve">Con l’approvazione del </w:t>
      </w:r>
      <w:proofErr w:type="spellStart"/>
      <w:r w:rsidRPr="00062B15">
        <w:rPr>
          <w:rFonts w:ascii="Arial" w:eastAsia="Arial" w:hAnsi="Arial" w:cs="Arial"/>
          <w:sz w:val="20"/>
          <w:szCs w:val="20"/>
        </w:rPr>
        <w:t>D.Lgs.</w:t>
      </w:r>
      <w:proofErr w:type="spellEnd"/>
      <w:r w:rsidRPr="00062B15">
        <w:rPr>
          <w:rFonts w:ascii="Arial" w:eastAsia="Arial" w:hAnsi="Arial" w:cs="Arial"/>
          <w:sz w:val="20"/>
          <w:szCs w:val="20"/>
        </w:rPr>
        <w:t xml:space="preserve"> 19 gennaio 2026, n. 10</w:t>
      </w:r>
      <w:r>
        <w:rPr>
          <w:rFonts w:ascii="Arial" w:eastAsia="Arial" w:hAnsi="Arial" w:cs="Arial"/>
          <w:sz w:val="20"/>
          <w:szCs w:val="20"/>
        </w:rPr>
        <w:t xml:space="preserve"> </w:t>
      </w:r>
      <w:r w:rsidRPr="00062B15">
        <w:rPr>
          <w:rFonts w:ascii="Arial" w:eastAsia="Arial" w:hAnsi="Arial" w:cs="Arial"/>
          <w:sz w:val="20"/>
          <w:szCs w:val="20"/>
        </w:rPr>
        <w:t>(pubblicato in Gazzetta Ufficiale n. 24 del 30 gennaio 2026, Suppl. Ord. n. 4), l’ordinamento tributario italiano compie uno storico passo verso la semplificazione e il riordino delle imposte indirette. Dopo oltre mezzo secolo di onorato servizio</w:t>
      </w:r>
      <w:r>
        <w:rPr>
          <w:rFonts w:ascii="Arial" w:eastAsia="Arial" w:hAnsi="Arial" w:cs="Arial"/>
          <w:sz w:val="20"/>
          <w:szCs w:val="20"/>
        </w:rPr>
        <w:t>,</w:t>
      </w:r>
      <w:r w:rsidRPr="00062B15">
        <w:rPr>
          <w:rFonts w:ascii="Arial" w:eastAsia="Arial" w:hAnsi="Arial" w:cs="Arial"/>
          <w:sz w:val="20"/>
          <w:szCs w:val="20"/>
        </w:rPr>
        <w:t xml:space="preserve"> il</w:t>
      </w:r>
      <w:r>
        <w:rPr>
          <w:rFonts w:ascii="Arial" w:eastAsia="Arial" w:hAnsi="Arial" w:cs="Arial"/>
          <w:sz w:val="20"/>
          <w:szCs w:val="20"/>
        </w:rPr>
        <w:t xml:space="preserve"> </w:t>
      </w:r>
      <w:r w:rsidRPr="00062B15">
        <w:rPr>
          <w:rFonts w:ascii="Arial" w:eastAsia="Arial" w:hAnsi="Arial" w:cs="Arial"/>
          <w:sz w:val="20"/>
          <w:szCs w:val="20"/>
        </w:rPr>
        <w:t>D.P.R. 26 ottobre 1972, n. 633</w:t>
      </w:r>
      <w:r>
        <w:rPr>
          <w:rFonts w:ascii="Arial" w:eastAsia="Arial" w:hAnsi="Arial" w:cs="Arial"/>
          <w:sz w:val="20"/>
          <w:szCs w:val="20"/>
        </w:rPr>
        <w:t xml:space="preserve"> </w:t>
      </w:r>
      <w:r w:rsidRPr="00062B15">
        <w:rPr>
          <w:rFonts w:ascii="Arial" w:eastAsia="Arial" w:hAnsi="Arial" w:cs="Arial"/>
          <w:sz w:val="20"/>
          <w:szCs w:val="20"/>
        </w:rPr>
        <w:t>lascia il posto al</w:t>
      </w:r>
      <w:r>
        <w:rPr>
          <w:rFonts w:ascii="Arial" w:eastAsia="Arial" w:hAnsi="Arial" w:cs="Arial"/>
          <w:sz w:val="20"/>
          <w:szCs w:val="20"/>
        </w:rPr>
        <w:t xml:space="preserve"> n</w:t>
      </w:r>
      <w:r w:rsidRPr="00062B15">
        <w:rPr>
          <w:rFonts w:ascii="Arial" w:eastAsia="Arial" w:hAnsi="Arial" w:cs="Arial"/>
          <w:sz w:val="20"/>
          <w:szCs w:val="20"/>
        </w:rPr>
        <w:t>uovo Testo Unico dell’IVA.</w:t>
      </w:r>
    </w:p>
    <w:p w14:paraId="076250F1" w14:textId="77777777" w:rsidR="004A48E4" w:rsidRPr="00062B15" w:rsidRDefault="004A48E4" w:rsidP="004A48E4">
      <w:pPr>
        <w:pBdr>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Il nuovo Testo Unico non si limita però a sostituire il D</w:t>
      </w:r>
      <w:r>
        <w:rPr>
          <w:rFonts w:ascii="Arial" w:eastAsia="Arial" w:hAnsi="Arial" w:cs="Arial"/>
          <w:sz w:val="20"/>
          <w:szCs w:val="20"/>
        </w:rPr>
        <w:t>.</w:t>
      </w:r>
      <w:r w:rsidRPr="00062B15">
        <w:rPr>
          <w:rFonts w:ascii="Arial" w:eastAsia="Arial" w:hAnsi="Arial" w:cs="Arial"/>
          <w:sz w:val="20"/>
          <w:szCs w:val="20"/>
        </w:rPr>
        <w:t>P</w:t>
      </w:r>
      <w:r>
        <w:rPr>
          <w:rFonts w:ascii="Arial" w:eastAsia="Arial" w:hAnsi="Arial" w:cs="Arial"/>
          <w:sz w:val="20"/>
          <w:szCs w:val="20"/>
        </w:rPr>
        <w:t>.</w:t>
      </w:r>
      <w:r w:rsidRPr="00062B15">
        <w:rPr>
          <w:rFonts w:ascii="Arial" w:eastAsia="Arial" w:hAnsi="Arial" w:cs="Arial"/>
          <w:sz w:val="20"/>
          <w:szCs w:val="20"/>
        </w:rPr>
        <w:t>R</w:t>
      </w:r>
      <w:r>
        <w:rPr>
          <w:rFonts w:ascii="Arial" w:eastAsia="Arial" w:hAnsi="Arial" w:cs="Arial"/>
          <w:sz w:val="20"/>
          <w:szCs w:val="20"/>
        </w:rPr>
        <w:t>.</w:t>
      </w:r>
      <w:r w:rsidRPr="00062B15">
        <w:rPr>
          <w:rFonts w:ascii="Arial" w:eastAsia="Arial" w:hAnsi="Arial" w:cs="Arial"/>
          <w:sz w:val="20"/>
          <w:szCs w:val="20"/>
        </w:rPr>
        <w:t xml:space="preserve"> </w:t>
      </w:r>
      <w:r>
        <w:rPr>
          <w:rFonts w:ascii="Arial" w:eastAsia="Arial" w:hAnsi="Arial" w:cs="Arial"/>
          <w:sz w:val="20"/>
          <w:szCs w:val="20"/>
        </w:rPr>
        <w:t xml:space="preserve">n. </w:t>
      </w:r>
      <w:r w:rsidRPr="00062B15">
        <w:rPr>
          <w:rFonts w:ascii="Arial" w:eastAsia="Arial" w:hAnsi="Arial" w:cs="Arial"/>
          <w:sz w:val="20"/>
          <w:szCs w:val="20"/>
        </w:rPr>
        <w:t>633/</w:t>
      </w:r>
      <w:r>
        <w:rPr>
          <w:rFonts w:ascii="Arial" w:eastAsia="Arial" w:hAnsi="Arial" w:cs="Arial"/>
          <w:sz w:val="20"/>
          <w:szCs w:val="20"/>
        </w:rPr>
        <w:t>19</w:t>
      </w:r>
      <w:r w:rsidRPr="00062B15">
        <w:rPr>
          <w:rFonts w:ascii="Arial" w:eastAsia="Arial" w:hAnsi="Arial" w:cs="Arial"/>
          <w:sz w:val="20"/>
          <w:szCs w:val="20"/>
        </w:rPr>
        <w:t>72, ma assorbe e unifica altre fonti precedentemente frammentate:</w:t>
      </w:r>
    </w:p>
    <w:p w14:paraId="61C7D9D5" w14:textId="77777777" w:rsidR="004A48E4" w:rsidRPr="00062B15" w:rsidRDefault="004A48E4" w:rsidP="004A48E4">
      <w:pPr>
        <w:pStyle w:val="Paragrafoelenco"/>
        <w:numPr>
          <w:ilvl w:val="0"/>
          <w:numId w:val="15"/>
        </w:numPr>
        <w:pBdr>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la disciplina delle</w:t>
      </w:r>
      <w:r>
        <w:rPr>
          <w:rFonts w:ascii="Arial" w:eastAsia="Arial" w:hAnsi="Arial" w:cs="Arial"/>
          <w:sz w:val="20"/>
          <w:szCs w:val="20"/>
        </w:rPr>
        <w:t xml:space="preserve"> </w:t>
      </w:r>
      <w:r w:rsidRPr="00062B15">
        <w:rPr>
          <w:rFonts w:ascii="Arial" w:eastAsia="Arial" w:hAnsi="Arial" w:cs="Arial"/>
          <w:b/>
          <w:bCs/>
          <w:sz w:val="20"/>
          <w:szCs w:val="20"/>
        </w:rPr>
        <w:t>operazioni intracomunitarie</w:t>
      </w:r>
      <w:r>
        <w:rPr>
          <w:rFonts w:ascii="Arial" w:eastAsia="Arial" w:hAnsi="Arial" w:cs="Arial"/>
          <w:sz w:val="20"/>
          <w:szCs w:val="20"/>
        </w:rPr>
        <w:t xml:space="preserve"> </w:t>
      </w:r>
      <w:r w:rsidRPr="00062B15">
        <w:rPr>
          <w:rFonts w:ascii="Arial" w:eastAsia="Arial" w:hAnsi="Arial" w:cs="Arial"/>
          <w:sz w:val="20"/>
          <w:szCs w:val="20"/>
        </w:rPr>
        <w:t xml:space="preserve">(D.L. </w:t>
      </w:r>
      <w:r>
        <w:rPr>
          <w:rFonts w:ascii="Arial" w:eastAsia="Arial" w:hAnsi="Arial" w:cs="Arial"/>
          <w:sz w:val="20"/>
          <w:szCs w:val="20"/>
        </w:rPr>
        <w:t xml:space="preserve">n. </w:t>
      </w:r>
      <w:r w:rsidRPr="00062B15">
        <w:rPr>
          <w:rFonts w:ascii="Arial" w:eastAsia="Arial" w:hAnsi="Arial" w:cs="Arial"/>
          <w:sz w:val="20"/>
          <w:szCs w:val="20"/>
        </w:rPr>
        <w:t>331/1993);</w:t>
      </w:r>
    </w:p>
    <w:p w14:paraId="4AFCA7A1" w14:textId="77777777" w:rsidR="004A48E4" w:rsidRPr="00062B15" w:rsidRDefault="004A48E4" w:rsidP="004A48E4">
      <w:pPr>
        <w:pStyle w:val="Paragrafoelenco"/>
        <w:numPr>
          <w:ilvl w:val="0"/>
          <w:numId w:val="15"/>
        </w:numPr>
        <w:pBdr>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il</w:t>
      </w:r>
      <w:r>
        <w:rPr>
          <w:rFonts w:ascii="Arial" w:eastAsia="Arial" w:hAnsi="Arial" w:cs="Arial"/>
          <w:sz w:val="20"/>
          <w:szCs w:val="20"/>
        </w:rPr>
        <w:t xml:space="preserve"> </w:t>
      </w:r>
      <w:r w:rsidRPr="00062B15">
        <w:rPr>
          <w:rFonts w:ascii="Arial" w:eastAsia="Arial" w:hAnsi="Arial" w:cs="Arial"/>
          <w:b/>
          <w:bCs/>
          <w:sz w:val="20"/>
          <w:szCs w:val="20"/>
        </w:rPr>
        <w:t>regime del margine</w:t>
      </w:r>
      <w:r>
        <w:rPr>
          <w:rFonts w:ascii="Arial" w:eastAsia="Arial" w:hAnsi="Arial" w:cs="Arial"/>
          <w:sz w:val="20"/>
          <w:szCs w:val="20"/>
        </w:rPr>
        <w:t xml:space="preserve"> </w:t>
      </w:r>
      <w:r w:rsidRPr="00062B15">
        <w:rPr>
          <w:rFonts w:ascii="Arial" w:eastAsia="Arial" w:hAnsi="Arial" w:cs="Arial"/>
          <w:sz w:val="20"/>
          <w:szCs w:val="20"/>
        </w:rPr>
        <w:t xml:space="preserve">per beni usati, antiquariato e arte (D.L. </w:t>
      </w:r>
      <w:r>
        <w:rPr>
          <w:rFonts w:ascii="Arial" w:eastAsia="Arial" w:hAnsi="Arial" w:cs="Arial"/>
          <w:sz w:val="20"/>
          <w:szCs w:val="20"/>
        </w:rPr>
        <w:t xml:space="preserve">n. </w:t>
      </w:r>
      <w:r w:rsidRPr="00062B15">
        <w:rPr>
          <w:rFonts w:ascii="Arial" w:eastAsia="Arial" w:hAnsi="Arial" w:cs="Arial"/>
          <w:sz w:val="20"/>
          <w:szCs w:val="20"/>
        </w:rPr>
        <w:t>41/1995);</w:t>
      </w:r>
    </w:p>
    <w:p w14:paraId="59B7B0DD" w14:textId="77777777" w:rsidR="004A48E4" w:rsidRPr="00062B15" w:rsidRDefault="004A48E4" w:rsidP="004A48E4">
      <w:pPr>
        <w:pStyle w:val="Paragrafoelenco"/>
        <w:numPr>
          <w:ilvl w:val="0"/>
          <w:numId w:val="15"/>
        </w:numPr>
        <w:pBdr>
          <w:between w:val="nil"/>
        </w:pBdr>
        <w:spacing w:after="0" w:line="300" w:lineRule="atLeast"/>
        <w:ind w:leftChars="0" w:firstLineChars="0"/>
        <w:jc w:val="both"/>
        <w:rPr>
          <w:rFonts w:ascii="Arial" w:eastAsia="Arial" w:hAnsi="Arial" w:cs="Arial"/>
          <w:sz w:val="20"/>
          <w:szCs w:val="20"/>
        </w:rPr>
      </w:pPr>
      <w:r w:rsidRPr="00062B15">
        <w:rPr>
          <w:rFonts w:ascii="Arial" w:eastAsia="Arial" w:hAnsi="Arial" w:cs="Arial"/>
          <w:sz w:val="20"/>
          <w:szCs w:val="20"/>
        </w:rPr>
        <w:t>le disposizioni complementari in tema di</w:t>
      </w:r>
      <w:r>
        <w:rPr>
          <w:rFonts w:ascii="Arial" w:eastAsia="Arial" w:hAnsi="Arial" w:cs="Arial"/>
          <w:sz w:val="20"/>
          <w:szCs w:val="20"/>
        </w:rPr>
        <w:t xml:space="preserve"> </w:t>
      </w:r>
      <w:r w:rsidRPr="00062B15">
        <w:rPr>
          <w:rFonts w:ascii="Arial" w:eastAsia="Arial" w:hAnsi="Arial" w:cs="Arial"/>
          <w:b/>
          <w:bCs/>
          <w:sz w:val="20"/>
          <w:szCs w:val="20"/>
        </w:rPr>
        <w:t>fatturazione elettronica e trasmissione telematica</w:t>
      </w:r>
      <w:r>
        <w:rPr>
          <w:rFonts w:ascii="Arial" w:eastAsia="Arial" w:hAnsi="Arial" w:cs="Arial"/>
          <w:sz w:val="20"/>
          <w:szCs w:val="20"/>
        </w:rPr>
        <w:t xml:space="preserve"> </w:t>
      </w:r>
      <w:r w:rsidRPr="00062B15">
        <w:rPr>
          <w:rFonts w:ascii="Arial" w:eastAsia="Arial" w:hAnsi="Arial" w:cs="Arial"/>
          <w:sz w:val="20"/>
          <w:szCs w:val="20"/>
        </w:rPr>
        <w:t>(</w:t>
      </w:r>
      <w:proofErr w:type="spellStart"/>
      <w:r w:rsidRPr="00062B15">
        <w:rPr>
          <w:rFonts w:ascii="Arial" w:eastAsia="Arial" w:hAnsi="Arial" w:cs="Arial"/>
          <w:sz w:val="20"/>
          <w:szCs w:val="20"/>
        </w:rPr>
        <w:t>D.Lgs.</w:t>
      </w:r>
      <w:proofErr w:type="spellEnd"/>
      <w:r w:rsidRPr="00062B15">
        <w:rPr>
          <w:rFonts w:ascii="Arial" w:eastAsia="Arial" w:hAnsi="Arial" w:cs="Arial"/>
          <w:sz w:val="20"/>
          <w:szCs w:val="20"/>
        </w:rPr>
        <w:t xml:space="preserve"> </w:t>
      </w:r>
      <w:r>
        <w:rPr>
          <w:rFonts w:ascii="Arial" w:eastAsia="Arial" w:hAnsi="Arial" w:cs="Arial"/>
          <w:sz w:val="20"/>
          <w:szCs w:val="20"/>
        </w:rPr>
        <w:t xml:space="preserve">n. </w:t>
      </w:r>
      <w:r w:rsidRPr="00062B15">
        <w:rPr>
          <w:rFonts w:ascii="Arial" w:eastAsia="Arial" w:hAnsi="Arial" w:cs="Arial"/>
          <w:sz w:val="20"/>
          <w:szCs w:val="20"/>
        </w:rPr>
        <w:t>127/2015).</w:t>
      </w:r>
    </w:p>
    <w:p w14:paraId="77090545" w14:textId="77777777" w:rsidR="004A48E4" w:rsidRPr="00062B15" w:rsidRDefault="004A48E4" w:rsidP="004A48E4">
      <w:pPr>
        <w:pBdr>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Restano invece disciplinati da autonomi testi normativi gli ambiti relativi a sanzioni e accertamento.</w:t>
      </w:r>
    </w:p>
    <w:p w14:paraId="301C12FE" w14:textId="77777777" w:rsidR="004A48E4" w:rsidRPr="00062B15" w:rsidRDefault="004A48E4" w:rsidP="004A48E4">
      <w:pPr>
        <w:pBdr>
          <w:between w:val="nil"/>
        </w:pBdr>
        <w:spacing w:line="300" w:lineRule="atLeast"/>
        <w:ind w:left="0" w:hanging="2"/>
        <w:jc w:val="both"/>
        <w:rPr>
          <w:rFonts w:ascii="Arial" w:eastAsia="Arial" w:hAnsi="Arial" w:cs="Arial"/>
          <w:sz w:val="20"/>
          <w:szCs w:val="20"/>
        </w:rPr>
      </w:pPr>
      <w:r w:rsidRPr="00062B15">
        <w:rPr>
          <w:rFonts w:ascii="Arial" w:eastAsia="Arial" w:hAnsi="Arial" w:cs="Arial"/>
          <w:sz w:val="20"/>
          <w:szCs w:val="20"/>
        </w:rPr>
        <w:t>Il provvedimento ha</w:t>
      </w:r>
      <w:r>
        <w:rPr>
          <w:rFonts w:ascii="Arial" w:eastAsia="Arial" w:hAnsi="Arial" w:cs="Arial"/>
          <w:sz w:val="20"/>
          <w:szCs w:val="20"/>
        </w:rPr>
        <w:t xml:space="preserve"> </w:t>
      </w:r>
      <w:r w:rsidRPr="00062B15">
        <w:rPr>
          <w:rFonts w:ascii="Arial" w:eastAsia="Arial" w:hAnsi="Arial" w:cs="Arial"/>
          <w:b/>
          <w:bCs/>
          <w:sz w:val="20"/>
          <w:szCs w:val="20"/>
        </w:rPr>
        <w:t>carattere prevalentemente compilativo</w:t>
      </w:r>
      <w:r w:rsidRPr="00062B15">
        <w:rPr>
          <w:rFonts w:ascii="Arial" w:eastAsia="Arial" w:hAnsi="Arial" w:cs="Arial"/>
          <w:sz w:val="20"/>
          <w:szCs w:val="20"/>
        </w:rPr>
        <w:t>: non vengono stravolti i principi sostanziali dell’imposta, ma l’intera materia viene riscritta secondo una sequenza logica aderente all’ossatura della</w:t>
      </w:r>
      <w:r>
        <w:rPr>
          <w:rFonts w:ascii="Arial" w:eastAsia="Arial" w:hAnsi="Arial" w:cs="Arial"/>
          <w:sz w:val="20"/>
          <w:szCs w:val="20"/>
        </w:rPr>
        <w:t xml:space="preserve"> </w:t>
      </w:r>
      <w:r w:rsidRPr="00062B15">
        <w:rPr>
          <w:rFonts w:ascii="Arial" w:eastAsia="Arial" w:hAnsi="Arial" w:cs="Arial"/>
          <w:sz w:val="20"/>
          <w:szCs w:val="20"/>
        </w:rPr>
        <w:t>Direttiva comunitaria 2006/112/CE.</w:t>
      </w:r>
    </w:p>
    <w:p w14:paraId="5A7C42CB" w14:textId="77777777" w:rsidR="004A48E4" w:rsidRPr="004A48E4" w:rsidRDefault="004A48E4" w:rsidP="004A48E4">
      <w:pPr>
        <w:shd w:val="clear" w:color="auto" w:fill="FFFFFF"/>
        <w:spacing w:line="300" w:lineRule="atLeast"/>
        <w:ind w:leftChars="0" w:left="0" w:firstLineChars="0" w:firstLine="0"/>
        <w:jc w:val="both"/>
        <w:rPr>
          <w:rFonts w:ascii="Arial" w:eastAsia="Arial" w:hAnsi="Arial" w:cs="Arial"/>
          <w:color w:val="0F0F0F"/>
          <w:sz w:val="20"/>
          <w:szCs w:val="20"/>
        </w:rPr>
      </w:pPr>
    </w:p>
    <w:p w14:paraId="1343EF5F" w14:textId="76693ED9"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La timeline: efficacia dal 1° gennaio 2027 ma transizione da gestire in anticipo</w:t>
      </w:r>
    </w:p>
    <w:p w14:paraId="3042D9D8" w14:textId="1811505F"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 xml:space="preserve">Sebbene il </w:t>
      </w:r>
      <w:proofErr w:type="spellStart"/>
      <w:r w:rsidRPr="004A48E4">
        <w:rPr>
          <w:rFonts w:ascii="Arial" w:eastAsia="Arial" w:hAnsi="Arial" w:cs="Arial"/>
          <w:sz w:val="20"/>
          <w:szCs w:val="20"/>
        </w:rPr>
        <w:t>D.Lgs.</w:t>
      </w:r>
      <w:proofErr w:type="spellEnd"/>
      <w:r w:rsidRPr="004A48E4">
        <w:rPr>
          <w:rFonts w:ascii="Arial" w:eastAsia="Arial" w:hAnsi="Arial" w:cs="Arial"/>
          <w:sz w:val="20"/>
          <w:szCs w:val="20"/>
        </w:rPr>
        <w:t xml:space="preserve"> </w:t>
      </w:r>
      <w:r w:rsidR="004A48E4">
        <w:rPr>
          <w:rFonts w:ascii="Arial" w:eastAsia="Arial" w:hAnsi="Arial" w:cs="Arial"/>
          <w:sz w:val="20"/>
          <w:szCs w:val="20"/>
        </w:rPr>
        <w:t xml:space="preserve">n. </w:t>
      </w:r>
      <w:r w:rsidRPr="004A48E4">
        <w:rPr>
          <w:rFonts w:ascii="Arial" w:eastAsia="Arial" w:hAnsi="Arial" w:cs="Arial"/>
          <w:sz w:val="20"/>
          <w:szCs w:val="20"/>
        </w:rPr>
        <w:t>10/2026 sia formalmente in vigore da inizio 2026, il legislatore ha previsto un ampio differimento operativo:</w:t>
      </w:r>
    </w:p>
    <w:p w14:paraId="0FABEE24" w14:textId="66080DD3" w:rsidR="004B5DEB" w:rsidRPr="004A48E4" w:rsidRDefault="004B5DEB" w:rsidP="004A48E4">
      <w:pPr>
        <w:pStyle w:val="Paragrafoelenco"/>
        <w:numPr>
          <w:ilvl w:val="0"/>
          <w:numId w:val="20"/>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t>19 gennaio 2026</w:t>
      </w:r>
      <w:r w:rsidRPr="004A48E4">
        <w:rPr>
          <w:rFonts w:ascii="Arial" w:eastAsia="Arial" w:hAnsi="Arial" w:cs="Arial"/>
          <w:sz w:val="20"/>
          <w:szCs w:val="20"/>
        </w:rPr>
        <w:t xml:space="preserve">: approvazione definitiva del Testo Unico in </w:t>
      </w:r>
      <w:proofErr w:type="gramStart"/>
      <w:r w:rsidRPr="004A48E4">
        <w:rPr>
          <w:rFonts w:ascii="Arial" w:eastAsia="Arial" w:hAnsi="Arial" w:cs="Arial"/>
          <w:sz w:val="20"/>
          <w:szCs w:val="20"/>
        </w:rPr>
        <w:t>Consiglio dei Ministri</w:t>
      </w:r>
      <w:proofErr w:type="gramEnd"/>
      <w:r w:rsidR="004A48E4">
        <w:rPr>
          <w:rFonts w:ascii="Arial" w:eastAsia="Arial" w:hAnsi="Arial" w:cs="Arial"/>
          <w:sz w:val="20"/>
          <w:szCs w:val="20"/>
        </w:rPr>
        <w:t>;</w:t>
      </w:r>
    </w:p>
    <w:p w14:paraId="51DB972B" w14:textId="56AB32C0" w:rsidR="004B5DEB" w:rsidRPr="004A48E4" w:rsidRDefault="004B5DEB" w:rsidP="004A48E4">
      <w:pPr>
        <w:pStyle w:val="Paragrafoelenco"/>
        <w:numPr>
          <w:ilvl w:val="0"/>
          <w:numId w:val="20"/>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t>30 gennaio 2026</w:t>
      </w:r>
      <w:r w:rsidRPr="004A48E4">
        <w:rPr>
          <w:rFonts w:ascii="Arial" w:eastAsia="Arial" w:hAnsi="Arial" w:cs="Arial"/>
          <w:sz w:val="20"/>
          <w:szCs w:val="20"/>
        </w:rPr>
        <w:t>: pubblicazione in Gazzetta Ufficiale</w:t>
      </w:r>
      <w:r w:rsidR="004A48E4">
        <w:rPr>
          <w:rFonts w:ascii="Arial" w:eastAsia="Arial" w:hAnsi="Arial" w:cs="Arial"/>
          <w:sz w:val="20"/>
          <w:szCs w:val="20"/>
        </w:rPr>
        <w:t>;</w:t>
      </w:r>
    </w:p>
    <w:p w14:paraId="70434062" w14:textId="0B1C5D0E" w:rsidR="004B5DEB" w:rsidRPr="004A48E4" w:rsidRDefault="004A48E4" w:rsidP="004A48E4">
      <w:pPr>
        <w:pStyle w:val="Paragrafoelenco"/>
        <w:numPr>
          <w:ilvl w:val="0"/>
          <w:numId w:val="20"/>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a</w:t>
      </w:r>
      <w:r w:rsidR="004B5DEB" w:rsidRPr="004A48E4">
        <w:rPr>
          <w:rFonts w:ascii="Arial" w:eastAsia="Arial" w:hAnsi="Arial" w:cs="Arial"/>
          <w:b/>
          <w:bCs/>
          <w:sz w:val="20"/>
          <w:szCs w:val="20"/>
        </w:rPr>
        <w:t>nno 2026</w:t>
      </w:r>
      <w:r w:rsidR="004B5DEB" w:rsidRPr="004A48E4">
        <w:rPr>
          <w:rFonts w:ascii="Arial" w:eastAsia="Arial" w:hAnsi="Arial" w:cs="Arial"/>
          <w:sz w:val="20"/>
          <w:szCs w:val="20"/>
        </w:rPr>
        <w:t>: periodo cuscinetto per consentire l’adeguamento dei software ERP, delle tabelle contabili e della contrattualistica</w:t>
      </w:r>
      <w:r>
        <w:rPr>
          <w:rFonts w:ascii="Arial" w:eastAsia="Arial" w:hAnsi="Arial" w:cs="Arial"/>
          <w:sz w:val="20"/>
          <w:szCs w:val="20"/>
        </w:rPr>
        <w:t>;</w:t>
      </w:r>
    </w:p>
    <w:p w14:paraId="1927FBB2" w14:textId="17185C87" w:rsidR="004B5DEB" w:rsidRDefault="004B5DEB" w:rsidP="004A48E4">
      <w:pPr>
        <w:pStyle w:val="Paragrafoelenco"/>
        <w:numPr>
          <w:ilvl w:val="0"/>
          <w:numId w:val="20"/>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t>1° gennaio 2027</w:t>
      </w:r>
      <w:r w:rsidRPr="004A48E4">
        <w:rPr>
          <w:rFonts w:ascii="Arial" w:eastAsia="Arial" w:hAnsi="Arial" w:cs="Arial"/>
          <w:sz w:val="20"/>
          <w:szCs w:val="20"/>
        </w:rPr>
        <w:t>:</w:t>
      </w:r>
      <w:r w:rsidR="004A48E4">
        <w:rPr>
          <w:rFonts w:ascii="Arial" w:eastAsia="Arial" w:hAnsi="Arial" w:cs="Arial"/>
          <w:sz w:val="20"/>
          <w:szCs w:val="20"/>
        </w:rPr>
        <w:t xml:space="preserve"> </w:t>
      </w:r>
      <w:r w:rsidRPr="004A48E4">
        <w:rPr>
          <w:rFonts w:ascii="Arial" w:eastAsia="Arial" w:hAnsi="Arial" w:cs="Arial"/>
          <w:b/>
          <w:bCs/>
          <w:sz w:val="20"/>
          <w:szCs w:val="20"/>
        </w:rPr>
        <w:t>piena efficacia operativa</w:t>
      </w:r>
      <w:r w:rsidR="004A48E4">
        <w:rPr>
          <w:rFonts w:ascii="Arial" w:eastAsia="Arial" w:hAnsi="Arial" w:cs="Arial"/>
          <w:sz w:val="20"/>
          <w:szCs w:val="20"/>
        </w:rPr>
        <w:t xml:space="preserve"> </w:t>
      </w:r>
      <w:r w:rsidRPr="004A48E4">
        <w:rPr>
          <w:rFonts w:ascii="Arial" w:eastAsia="Arial" w:hAnsi="Arial" w:cs="Arial"/>
          <w:sz w:val="20"/>
          <w:szCs w:val="20"/>
        </w:rPr>
        <w:t>e contestuale abrogazione del D</w:t>
      </w:r>
      <w:r w:rsidR="004A48E4">
        <w:rPr>
          <w:rFonts w:ascii="Arial" w:eastAsia="Arial" w:hAnsi="Arial" w:cs="Arial"/>
          <w:sz w:val="20"/>
          <w:szCs w:val="20"/>
        </w:rPr>
        <w:t>.</w:t>
      </w:r>
      <w:r w:rsidRPr="004A48E4">
        <w:rPr>
          <w:rFonts w:ascii="Arial" w:eastAsia="Arial" w:hAnsi="Arial" w:cs="Arial"/>
          <w:sz w:val="20"/>
          <w:szCs w:val="20"/>
        </w:rPr>
        <w:t>P</w:t>
      </w:r>
      <w:r w:rsidR="004A48E4">
        <w:rPr>
          <w:rFonts w:ascii="Arial" w:eastAsia="Arial" w:hAnsi="Arial" w:cs="Arial"/>
          <w:sz w:val="20"/>
          <w:szCs w:val="20"/>
        </w:rPr>
        <w:t>.</w:t>
      </w:r>
      <w:r w:rsidRPr="004A48E4">
        <w:rPr>
          <w:rFonts w:ascii="Arial" w:eastAsia="Arial" w:hAnsi="Arial" w:cs="Arial"/>
          <w:sz w:val="20"/>
          <w:szCs w:val="20"/>
        </w:rPr>
        <w:t>R</w:t>
      </w:r>
      <w:r w:rsidR="004A48E4">
        <w:rPr>
          <w:rFonts w:ascii="Arial" w:eastAsia="Arial" w:hAnsi="Arial" w:cs="Arial"/>
          <w:sz w:val="20"/>
          <w:szCs w:val="20"/>
        </w:rPr>
        <w:t>.</w:t>
      </w:r>
      <w:r w:rsidRPr="004A48E4">
        <w:rPr>
          <w:rFonts w:ascii="Arial" w:eastAsia="Arial" w:hAnsi="Arial" w:cs="Arial"/>
          <w:sz w:val="20"/>
          <w:szCs w:val="20"/>
        </w:rPr>
        <w:t xml:space="preserve"> </w:t>
      </w:r>
      <w:r w:rsidR="004A48E4">
        <w:rPr>
          <w:rFonts w:ascii="Arial" w:eastAsia="Arial" w:hAnsi="Arial" w:cs="Arial"/>
          <w:sz w:val="20"/>
          <w:szCs w:val="20"/>
        </w:rPr>
        <w:t xml:space="preserve">n. </w:t>
      </w:r>
      <w:r w:rsidRPr="004A48E4">
        <w:rPr>
          <w:rFonts w:ascii="Arial" w:eastAsia="Arial" w:hAnsi="Arial" w:cs="Arial"/>
          <w:sz w:val="20"/>
          <w:szCs w:val="20"/>
        </w:rPr>
        <w:t>633/1972.</w:t>
      </w:r>
    </w:p>
    <w:p w14:paraId="3C1186B8" w14:textId="77777777" w:rsidR="004A48E4" w:rsidRPr="004A48E4" w:rsidRDefault="004A48E4" w:rsidP="004A48E4">
      <w:pPr>
        <w:pBdr>
          <w:top w:val="nil"/>
          <w:left w:val="nil"/>
          <w:bottom w:val="nil"/>
          <w:right w:val="nil"/>
          <w:between w:val="nil"/>
        </w:pBdr>
        <w:spacing w:line="300" w:lineRule="atLeast"/>
        <w:ind w:leftChars="0" w:left="0" w:firstLineChars="0" w:firstLine="0"/>
        <w:jc w:val="both"/>
        <w:rPr>
          <w:rFonts w:ascii="Arial" w:eastAsia="Arial" w:hAnsi="Arial" w:cs="Arial"/>
          <w:sz w:val="20"/>
          <w:szCs w:val="20"/>
        </w:rPr>
      </w:pPr>
    </w:p>
    <w:p w14:paraId="2DEF9210" w14:textId="78A4CFE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 xml:space="preserve">La nuova architettura: 18 Titoli, 171 </w:t>
      </w:r>
      <w:r w:rsidR="004A48E4">
        <w:rPr>
          <w:rFonts w:ascii="Arial" w:eastAsia="Arial" w:hAnsi="Arial" w:cs="Arial"/>
          <w:b/>
          <w:bCs/>
          <w:sz w:val="20"/>
          <w:szCs w:val="20"/>
        </w:rPr>
        <w:t>a</w:t>
      </w:r>
      <w:r w:rsidRPr="004A48E4">
        <w:rPr>
          <w:rFonts w:ascii="Arial" w:eastAsia="Arial" w:hAnsi="Arial" w:cs="Arial"/>
          <w:b/>
          <w:bCs/>
          <w:sz w:val="20"/>
          <w:szCs w:val="20"/>
        </w:rPr>
        <w:t>rticoli e 4 Tabelle</w:t>
      </w:r>
    </w:p>
    <w:p w14:paraId="5AC344B4" w14:textId="0170D170" w:rsidR="004B5DEB"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La nuova architettura si articola in</w:t>
      </w:r>
      <w:r w:rsidR="004A48E4" w:rsidRPr="004A48E4">
        <w:rPr>
          <w:rFonts w:ascii="Arial" w:eastAsia="Arial" w:hAnsi="Arial" w:cs="Arial"/>
          <w:sz w:val="20"/>
          <w:szCs w:val="20"/>
        </w:rPr>
        <w:t xml:space="preserve"> </w:t>
      </w:r>
      <w:r w:rsidRPr="004A48E4">
        <w:rPr>
          <w:rFonts w:ascii="Arial" w:eastAsia="Arial" w:hAnsi="Arial" w:cs="Arial"/>
          <w:sz w:val="20"/>
          <w:szCs w:val="20"/>
        </w:rPr>
        <w:t>18 Titoli</w:t>
      </w:r>
      <w:r w:rsidR="004A48E4" w:rsidRPr="004A48E4">
        <w:rPr>
          <w:rFonts w:ascii="Arial" w:eastAsia="Arial" w:hAnsi="Arial" w:cs="Arial"/>
          <w:sz w:val="20"/>
          <w:szCs w:val="20"/>
        </w:rPr>
        <w:t xml:space="preserve"> </w:t>
      </w:r>
      <w:r w:rsidRPr="004A48E4">
        <w:rPr>
          <w:rFonts w:ascii="Arial" w:eastAsia="Arial" w:hAnsi="Arial" w:cs="Arial"/>
          <w:sz w:val="20"/>
          <w:szCs w:val="20"/>
        </w:rPr>
        <w:t>e</w:t>
      </w:r>
      <w:r w:rsidR="004A48E4" w:rsidRPr="004A48E4">
        <w:rPr>
          <w:rFonts w:ascii="Arial" w:eastAsia="Arial" w:hAnsi="Arial" w:cs="Arial"/>
          <w:sz w:val="20"/>
          <w:szCs w:val="20"/>
        </w:rPr>
        <w:t xml:space="preserve"> </w:t>
      </w:r>
      <w:r w:rsidRPr="004A48E4">
        <w:rPr>
          <w:rFonts w:ascii="Arial" w:eastAsia="Arial" w:hAnsi="Arial" w:cs="Arial"/>
          <w:sz w:val="20"/>
          <w:szCs w:val="20"/>
        </w:rPr>
        <w:t xml:space="preserve">171 </w:t>
      </w:r>
      <w:r w:rsidR="004A48E4">
        <w:rPr>
          <w:rFonts w:ascii="Arial" w:eastAsia="Arial" w:hAnsi="Arial" w:cs="Arial"/>
          <w:sz w:val="20"/>
          <w:szCs w:val="20"/>
        </w:rPr>
        <w:t>a</w:t>
      </w:r>
      <w:r w:rsidRPr="004A48E4">
        <w:rPr>
          <w:rFonts w:ascii="Arial" w:eastAsia="Arial" w:hAnsi="Arial" w:cs="Arial"/>
          <w:sz w:val="20"/>
          <w:szCs w:val="20"/>
        </w:rPr>
        <w:t>rticoli, corredati da</w:t>
      </w:r>
      <w:r w:rsidR="004A48E4" w:rsidRPr="004A48E4">
        <w:rPr>
          <w:rFonts w:ascii="Arial" w:eastAsia="Arial" w:hAnsi="Arial" w:cs="Arial"/>
          <w:sz w:val="20"/>
          <w:szCs w:val="20"/>
        </w:rPr>
        <w:t xml:space="preserve"> </w:t>
      </w:r>
      <w:r w:rsidRPr="004A48E4">
        <w:rPr>
          <w:rFonts w:ascii="Arial" w:eastAsia="Arial" w:hAnsi="Arial" w:cs="Arial"/>
          <w:sz w:val="20"/>
          <w:szCs w:val="20"/>
        </w:rPr>
        <w:t>4 nuove Tabelle</w:t>
      </w:r>
      <w:r w:rsidR="004A48E4" w:rsidRPr="004A48E4">
        <w:rPr>
          <w:rFonts w:ascii="Arial" w:eastAsia="Arial" w:hAnsi="Arial" w:cs="Arial"/>
          <w:sz w:val="20"/>
          <w:szCs w:val="20"/>
        </w:rPr>
        <w:t xml:space="preserve"> </w:t>
      </w:r>
      <w:r w:rsidRPr="004A48E4">
        <w:rPr>
          <w:rFonts w:ascii="Arial" w:eastAsia="Arial" w:hAnsi="Arial" w:cs="Arial"/>
          <w:sz w:val="20"/>
          <w:szCs w:val="20"/>
        </w:rPr>
        <w:t>che prendono il posto delle vecchie partizioni merceologiche:</w:t>
      </w:r>
    </w:p>
    <w:p w14:paraId="4B25A51B" w14:textId="77777777" w:rsidR="004A48E4" w:rsidRPr="004A48E4" w:rsidRDefault="004A48E4" w:rsidP="004A48E4">
      <w:pPr>
        <w:pBdr>
          <w:top w:val="nil"/>
          <w:left w:val="nil"/>
          <w:bottom w:val="nil"/>
          <w:right w:val="nil"/>
          <w:between w:val="nil"/>
        </w:pBdr>
        <w:spacing w:line="300" w:lineRule="atLeast"/>
        <w:ind w:left="0" w:hanging="2"/>
        <w:jc w:val="both"/>
        <w:rPr>
          <w:rFonts w:ascii="Arial" w:eastAsia="Arial" w:hAnsi="Arial" w:cs="Arial"/>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1"/>
        <w:gridCol w:w="7375"/>
      </w:tblGrid>
      <w:tr w:rsidR="004B5DEB" w:rsidRPr="004A48E4" w14:paraId="5C80767A" w14:textId="77777777" w:rsidTr="004B5DEB">
        <w:trPr>
          <w:tblCellSpacing w:w="15" w:type="dxa"/>
        </w:trPr>
        <w:tc>
          <w:tcPr>
            <w:tcW w:w="0" w:type="auto"/>
            <w:vAlign w:val="center"/>
            <w:hideMark/>
          </w:tcPr>
          <w:p w14:paraId="102FA5E1"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Nuova Tabella</w:t>
            </w:r>
          </w:p>
        </w:tc>
        <w:tc>
          <w:tcPr>
            <w:tcW w:w="0" w:type="auto"/>
            <w:vAlign w:val="center"/>
            <w:hideMark/>
          </w:tcPr>
          <w:p w14:paraId="0EFB5F37"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Ambito di applicazione</w:t>
            </w:r>
          </w:p>
        </w:tc>
      </w:tr>
      <w:tr w:rsidR="004B5DEB" w:rsidRPr="004A48E4" w14:paraId="51265F5C" w14:textId="77777777" w:rsidTr="004B5DEB">
        <w:trPr>
          <w:tblCellSpacing w:w="15" w:type="dxa"/>
        </w:trPr>
        <w:tc>
          <w:tcPr>
            <w:tcW w:w="0" w:type="auto"/>
            <w:vAlign w:val="center"/>
            <w:hideMark/>
          </w:tcPr>
          <w:p w14:paraId="474E1AAF"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Tabella A</w:t>
            </w:r>
          </w:p>
        </w:tc>
        <w:tc>
          <w:tcPr>
            <w:tcW w:w="0" w:type="auto"/>
            <w:vAlign w:val="center"/>
            <w:hideMark/>
          </w:tcPr>
          <w:p w14:paraId="1A6288CA" w14:textId="020B2F5A"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Prodotti agricoli, ittici e beni/servizi ad</w:t>
            </w:r>
            <w:r w:rsidR="004A48E4">
              <w:rPr>
                <w:rFonts w:ascii="Arial" w:eastAsia="Arial" w:hAnsi="Arial" w:cs="Arial"/>
                <w:sz w:val="20"/>
                <w:szCs w:val="20"/>
              </w:rPr>
              <w:t xml:space="preserve"> </w:t>
            </w:r>
            <w:r w:rsidRPr="004A48E4">
              <w:rPr>
                <w:rFonts w:ascii="Arial" w:eastAsia="Arial" w:hAnsi="Arial" w:cs="Arial"/>
                <w:b/>
                <w:bCs/>
                <w:sz w:val="20"/>
                <w:szCs w:val="20"/>
              </w:rPr>
              <w:t>aliquota ridotta (4%, 5%, 10%)</w:t>
            </w:r>
          </w:p>
        </w:tc>
      </w:tr>
      <w:tr w:rsidR="004B5DEB" w:rsidRPr="004A48E4" w14:paraId="4AF6BBD7" w14:textId="77777777" w:rsidTr="004B5DEB">
        <w:trPr>
          <w:tblCellSpacing w:w="15" w:type="dxa"/>
        </w:trPr>
        <w:tc>
          <w:tcPr>
            <w:tcW w:w="0" w:type="auto"/>
            <w:vAlign w:val="center"/>
            <w:hideMark/>
          </w:tcPr>
          <w:p w14:paraId="48252C2E"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Tabella B</w:t>
            </w:r>
          </w:p>
        </w:tc>
        <w:tc>
          <w:tcPr>
            <w:tcW w:w="0" w:type="auto"/>
            <w:vAlign w:val="center"/>
            <w:hideMark/>
          </w:tcPr>
          <w:p w14:paraId="551CBFCB"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Prodotti soggetti a discipline e vincoli specifici previsti dai trattati UE</w:t>
            </w:r>
          </w:p>
        </w:tc>
      </w:tr>
      <w:tr w:rsidR="004B5DEB" w:rsidRPr="004A48E4" w14:paraId="4BF23AA4" w14:textId="77777777" w:rsidTr="004B5DEB">
        <w:trPr>
          <w:tblCellSpacing w:w="15" w:type="dxa"/>
        </w:trPr>
        <w:tc>
          <w:tcPr>
            <w:tcW w:w="0" w:type="auto"/>
            <w:vAlign w:val="center"/>
            <w:hideMark/>
          </w:tcPr>
          <w:p w14:paraId="769112ED"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Tabella C</w:t>
            </w:r>
          </w:p>
        </w:tc>
        <w:tc>
          <w:tcPr>
            <w:tcW w:w="0" w:type="auto"/>
            <w:vAlign w:val="center"/>
            <w:hideMark/>
          </w:tcPr>
          <w:p w14:paraId="368FF68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Spettacoli e attività ricreative (determinazione forfettaria base/detrazione)</w:t>
            </w:r>
          </w:p>
        </w:tc>
      </w:tr>
      <w:tr w:rsidR="004B5DEB" w:rsidRPr="004A48E4" w14:paraId="14A64698" w14:textId="77777777" w:rsidTr="004B5DEB">
        <w:trPr>
          <w:tblCellSpacing w:w="15" w:type="dxa"/>
        </w:trPr>
        <w:tc>
          <w:tcPr>
            <w:tcW w:w="0" w:type="auto"/>
            <w:vAlign w:val="center"/>
            <w:hideMark/>
          </w:tcPr>
          <w:p w14:paraId="26C080FE"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Tabella D</w:t>
            </w:r>
          </w:p>
        </w:tc>
        <w:tc>
          <w:tcPr>
            <w:tcW w:w="0" w:type="auto"/>
            <w:vAlign w:val="center"/>
            <w:hideMark/>
          </w:tcPr>
          <w:p w14:paraId="42215AD4" w14:textId="753ABA9D"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Oggetti d’arte, d’antiquariato e da collezione per il</w:t>
            </w:r>
            <w:r w:rsidR="004A48E4">
              <w:rPr>
                <w:rFonts w:ascii="Arial" w:eastAsia="Arial" w:hAnsi="Arial" w:cs="Arial"/>
                <w:sz w:val="20"/>
                <w:szCs w:val="20"/>
              </w:rPr>
              <w:t xml:space="preserve"> </w:t>
            </w:r>
            <w:r w:rsidRPr="004A48E4">
              <w:rPr>
                <w:rFonts w:ascii="Arial" w:eastAsia="Arial" w:hAnsi="Arial" w:cs="Arial"/>
                <w:b/>
                <w:bCs/>
                <w:sz w:val="20"/>
                <w:szCs w:val="20"/>
              </w:rPr>
              <w:t>regime del margine (</w:t>
            </w:r>
            <w:r w:rsidR="004A48E4">
              <w:rPr>
                <w:rFonts w:ascii="Arial" w:eastAsia="Arial" w:hAnsi="Arial" w:cs="Arial"/>
                <w:b/>
                <w:bCs/>
                <w:sz w:val="20"/>
                <w:szCs w:val="20"/>
              </w:rPr>
              <w:t>a</w:t>
            </w:r>
            <w:r w:rsidRPr="004A48E4">
              <w:rPr>
                <w:rFonts w:ascii="Arial" w:eastAsia="Arial" w:hAnsi="Arial" w:cs="Arial"/>
                <w:b/>
                <w:bCs/>
                <w:sz w:val="20"/>
                <w:szCs w:val="20"/>
              </w:rPr>
              <w:t>rt. 143)</w:t>
            </w:r>
          </w:p>
        </w:tc>
      </w:tr>
    </w:tbl>
    <w:p w14:paraId="49EEE4F3" w14:textId="69161650"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6CD20CCD" w14:textId="531F3066" w:rsidR="004B5DEB" w:rsidRPr="004A48E4" w:rsidRDefault="004B5DEB" w:rsidP="00581E69">
      <w:pPr>
        <w:keepNext/>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lastRenderedPageBreak/>
        <w:t>Tavola di raccordo per l’adeguamento aziendale ed ERP</w:t>
      </w:r>
    </w:p>
    <w:p w14:paraId="5141FC19" w14:textId="1D4FD96B"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Per gli uffici amministrativi</w:t>
      </w:r>
      <w:r w:rsidR="004A48E4">
        <w:rPr>
          <w:rFonts w:ascii="Arial" w:eastAsia="Arial" w:hAnsi="Arial" w:cs="Arial"/>
          <w:sz w:val="20"/>
          <w:szCs w:val="20"/>
        </w:rPr>
        <w:t xml:space="preserve"> </w:t>
      </w:r>
      <w:r w:rsidRPr="004A48E4">
        <w:rPr>
          <w:rFonts w:ascii="Arial" w:eastAsia="Arial" w:hAnsi="Arial" w:cs="Arial"/>
          <w:sz w:val="20"/>
          <w:szCs w:val="20"/>
        </w:rPr>
        <w:t>e i fornitori di software gestionali, il passaggio comporterà una</w:t>
      </w:r>
      <w:r w:rsidR="004A48E4">
        <w:rPr>
          <w:rFonts w:ascii="Arial" w:eastAsia="Arial" w:hAnsi="Arial" w:cs="Arial"/>
          <w:sz w:val="20"/>
          <w:szCs w:val="20"/>
        </w:rPr>
        <w:t xml:space="preserve"> </w:t>
      </w:r>
      <w:r w:rsidRPr="004A48E4">
        <w:rPr>
          <w:rFonts w:ascii="Arial" w:eastAsia="Arial" w:hAnsi="Arial" w:cs="Arial"/>
          <w:b/>
          <w:bCs/>
          <w:sz w:val="20"/>
          <w:szCs w:val="20"/>
        </w:rPr>
        <w:t>rimappatura</w:t>
      </w:r>
      <w:r w:rsidR="004A48E4">
        <w:rPr>
          <w:rFonts w:ascii="Arial" w:eastAsia="Arial" w:hAnsi="Arial" w:cs="Arial"/>
          <w:sz w:val="20"/>
          <w:szCs w:val="20"/>
        </w:rPr>
        <w:t xml:space="preserve"> </w:t>
      </w:r>
      <w:r w:rsidRPr="004A48E4">
        <w:rPr>
          <w:rFonts w:ascii="Arial" w:eastAsia="Arial" w:hAnsi="Arial" w:cs="Arial"/>
          <w:sz w:val="20"/>
          <w:szCs w:val="20"/>
        </w:rPr>
        <w:t>delle causali contabili, delle descrizioni negli XML di fattura elettronica e dei modelli dichiarativi.</w:t>
      </w:r>
    </w:p>
    <w:p w14:paraId="6B712D03" w14:textId="77777777" w:rsidR="004B5DEB"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Di seguito una sintesi di alcune modifiche che si renderanno necessarie:</w:t>
      </w:r>
    </w:p>
    <w:p w14:paraId="15A69D06" w14:textId="77777777" w:rsidR="004A48E4" w:rsidRPr="004A48E4" w:rsidRDefault="004A48E4" w:rsidP="004A48E4">
      <w:pPr>
        <w:pBdr>
          <w:top w:val="nil"/>
          <w:left w:val="nil"/>
          <w:bottom w:val="nil"/>
          <w:right w:val="nil"/>
          <w:between w:val="nil"/>
        </w:pBdr>
        <w:spacing w:line="300" w:lineRule="atLeast"/>
        <w:ind w:left="0" w:hanging="2"/>
        <w:jc w:val="both"/>
        <w:rPr>
          <w:rFonts w:ascii="Arial" w:eastAsia="Arial" w:hAnsi="Arial" w:cs="Arial"/>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2095"/>
        <w:gridCol w:w="2552"/>
        <w:gridCol w:w="2970"/>
      </w:tblGrid>
      <w:tr w:rsidR="004B5DEB" w:rsidRPr="004A48E4" w14:paraId="6A0B1746" w14:textId="77777777" w:rsidTr="004B5DEB">
        <w:trPr>
          <w:tblCellSpacing w:w="15" w:type="dxa"/>
        </w:trPr>
        <w:tc>
          <w:tcPr>
            <w:tcW w:w="0" w:type="auto"/>
            <w:vAlign w:val="center"/>
            <w:hideMark/>
          </w:tcPr>
          <w:p w14:paraId="6FD8B570"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Materia</w:t>
            </w:r>
          </w:p>
        </w:tc>
        <w:tc>
          <w:tcPr>
            <w:tcW w:w="2065" w:type="dxa"/>
            <w:vAlign w:val="center"/>
            <w:hideMark/>
          </w:tcPr>
          <w:p w14:paraId="67B5725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Precedente norma</w:t>
            </w:r>
          </w:p>
        </w:tc>
        <w:tc>
          <w:tcPr>
            <w:tcW w:w="2522" w:type="dxa"/>
            <w:vAlign w:val="center"/>
            <w:hideMark/>
          </w:tcPr>
          <w:p w14:paraId="36F12A2F" w14:textId="1C412DC5"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 xml:space="preserve">Nuovo </w:t>
            </w:r>
            <w:r w:rsidR="004A48E4">
              <w:rPr>
                <w:rFonts w:ascii="Arial" w:eastAsia="Arial" w:hAnsi="Arial" w:cs="Arial"/>
                <w:b/>
                <w:bCs/>
                <w:sz w:val="20"/>
                <w:szCs w:val="20"/>
              </w:rPr>
              <w:t>a</w:t>
            </w:r>
            <w:r w:rsidRPr="004A48E4">
              <w:rPr>
                <w:rFonts w:ascii="Arial" w:eastAsia="Arial" w:hAnsi="Arial" w:cs="Arial"/>
                <w:b/>
                <w:bCs/>
                <w:sz w:val="20"/>
                <w:szCs w:val="20"/>
              </w:rPr>
              <w:t>rticolo (TU IVA)</w:t>
            </w:r>
          </w:p>
        </w:tc>
        <w:tc>
          <w:tcPr>
            <w:tcW w:w="2925" w:type="dxa"/>
            <w:vAlign w:val="center"/>
            <w:hideMark/>
          </w:tcPr>
          <w:p w14:paraId="5CEC2317"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4A48E4">
              <w:rPr>
                <w:rFonts w:ascii="Arial" w:eastAsia="Arial" w:hAnsi="Arial" w:cs="Arial"/>
                <w:b/>
                <w:bCs/>
                <w:sz w:val="20"/>
                <w:szCs w:val="20"/>
              </w:rPr>
              <w:t>Impatto operativo per l’azienda</w:t>
            </w:r>
          </w:p>
        </w:tc>
      </w:tr>
      <w:tr w:rsidR="004B5DEB" w:rsidRPr="004A48E4" w14:paraId="48F0AD4B" w14:textId="77777777" w:rsidTr="004B5DEB">
        <w:trPr>
          <w:tblCellSpacing w:w="15" w:type="dxa"/>
        </w:trPr>
        <w:tc>
          <w:tcPr>
            <w:tcW w:w="0" w:type="auto"/>
            <w:vAlign w:val="center"/>
            <w:hideMark/>
          </w:tcPr>
          <w:p w14:paraId="4688C42D"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Cessioni di beni</w:t>
            </w:r>
          </w:p>
        </w:tc>
        <w:tc>
          <w:tcPr>
            <w:tcW w:w="2065" w:type="dxa"/>
            <w:vAlign w:val="center"/>
            <w:hideMark/>
          </w:tcPr>
          <w:p w14:paraId="07DAD3D5" w14:textId="4AA137F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2</w:t>
            </w:r>
            <w:r w:rsidR="004A48E4">
              <w:rPr>
                <w:rFonts w:ascii="Arial" w:eastAsia="Arial" w:hAnsi="Arial" w:cs="Arial"/>
                <w:sz w:val="20"/>
                <w:szCs w:val="20"/>
              </w:rPr>
              <w:t>,</w:t>
            </w:r>
            <w:r w:rsidRPr="004A48E4">
              <w:rPr>
                <w:rFonts w:ascii="Arial" w:eastAsia="Arial" w:hAnsi="Arial" w:cs="Arial"/>
                <w:sz w:val="20"/>
                <w:szCs w:val="20"/>
              </w:rPr>
              <w:t xml:space="preserve"> D</w:t>
            </w:r>
            <w:r w:rsidR="004A48E4">
              <w:rPr>
                <w:rFonts w:ascii="Arial" w:eastAsia="Arial" w:hAnsi="Arial" w:cs="Arial"/>
                <w:sz w:val="20"/>
                <w:szCs w:val="20"/>
              </w:rPr>
              <w:t>.</w:t>
            </w:r>
            <w:r w:rsidRPr="004A48E4">
              <w:rPr>
                <w:rFonts w:ascii="Arial" w:eastAsia="Arial" w:hAnsi="Arial" w:cs="Arial"/>
                <w:sz w:val="20"/>
                <w:szCs w:val="20"/>
              </w:rPr>
              <w:t>P</w:t>
            </w:r>
            <w:r w:rsidR="004A48E4">
              <w:rPr>
                <w:rFonts w:ascii="Arial" w:eastAsia="Arial" w:hAnsi="Arial" w:cs="Arial"/>
                <w:sz w:val="20"/>
                <w:szCs w:val="20"/>
              </w:rPr>
              <w:t>.</w:t>
            </w:r>
            <w:r w:rsidRPr="004A48E4">
              <w:rPr>
                <w:rFonts w:ascii="Arial" w:eastAsia="Arial" w:hAnsi="Arial" w:cs="Arial"/>
                <w:sz w:val="20"/>
                <w:szCs w:val="20"/>
              </w:rPr>
              <w:t>R</w:t>
            </w:r>
            <w:r w:rsidR="004A48E4">
              <w:rPr>
                <w:rFonts w:ascii="Arial" w:eastAsia="Arial" w:hAnsi="Arial" w:cs="Arial"/>
                <w:sz w:val="20"/>
                <w:szCs w:val="20"/>
              </w:rPr>
              <w:t>.</w:t>
            </w:r>
            <w:r w:rsidRPr="004A48E4">
              <w:rPr>
                <w:rFonts w:ascii="Arial" w:eastAsia="Arial" w:hAnsi="Arial" w:cs="Arial"/>
                <w:sz w:val="20"/>
                <w:szCs w:val="20"/>
              </w:rPr>
              <w:t xml:space="preserve"> </w:t>
            </w:r>
            <w:r w:rsidR="004A48E4">
              <w:rPr>
                <w:rFonts w:ascii="Arial" w:eastAsia="Arial" w:hAnsi="Arial" w:cs="Arial"/>
                <w:sz w:val="20"/>
                <w:szCs w:val="20"/>
              </w:rPr>
              <w:t xml:space="preserve">n. </w:t>
            </w:r>
            <w:r w:rsidRPr="004A48E4">
              <w:rPr>
                <w:rFonts w:ascii="Arial" w:eastAsia="Arial" w:hAnsi="Arial" w:cs="Arial"/>
                <w:sz w:val="20"/>
                <w:szCs w:val="20"/>
              </w:rPr>
              <w:t>633/</w:t>
            </w:r>
            <w:r w:rsidR="004A48E4">
              <w:rPr>
                <w:rFonts w:ascii="Arial" w:eastAsia="Arial" w:hAnsi="Arial" w:cs="Arial"/>
                <w:sz w:val="20"/>
                <w:szCs w:val="20"/>
              </w:rPr>
              <w:t>19</w:t>
            </w:r>
            <w:r w:rsidRPr="004A48E4">
              <w:rPr>
                <w:rFonts w:ascii="Arial" w:eastAsia="Arial" w:hAnsi="Arial" w:cs="Arial"/>
                <w:sz w:val="20"/>
                <w:szCs w:val="20"/>
              </w:rPr>
              <w:t>72</w:t>
            </w:r>
          </w:p>
        </w:tc>
        <w:tc>
          <w:tcPr>
            <w:tcW w:w="2522" w:type="dxa"/>
            <w:vAlign w:val="center"/>
            <w:hideMark/>
          </w:tcPr>
          <w:p w14:paraId="70FD51EA"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5</w:t>
            </w:r>
          </w:p>
        </w:tc>
        <w:tc>
          <w:tcPr>
            <w:tcW w:w="2925" w:type="dxa"/>
            <w:vAlign w:val="center"/>
            <w:hideMark/>
          </w:tcPr>
          <w:p w14:paraId="413C7F69"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Revisione causali di vendita interna e casistiche assimilate</w:t>
            </w:r>
          </w:p>
        </w:tc>
      </w:tr>
      <w:tr w:rsidR="004B5DEB" w:rsidRPr="004A48E4" w14:paraId="450780E6" w14:textId="77777777" w:rsidTr="004B5DEB">
        <w:trPr>
          <w:tblCellSpacing w:w="15" w:type="dxa"/>
        </w:trPr>
        <w:tc>
          <w:tcPr>
            <w:tcW w:w="0" w:type="auto"/>
            <w:vAlign w:val="center"/>
            <w:hideMark/>
          </w:tcPr>
          <w:p w14:paraId="54350165"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Prestazioni di servizi</w:t>
            </w:r>
          </w:p>
        </w:tc>
        <w:tc>
          <w:tcPr>
            <w:tcW w:w="2065" w:type="dxa"/>
            <w:vAlign w:val="center"/>
            <w:hideMark/>
          </w:tcPr>
          <w:p w14:paraId="10834FCB" w14:textId="1CA4610D"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3</w:t>
            </w:r>
            <w:r w:rsidR="009907F6">
              <w:rPr>
                <w:rFonts w:ascii="Arial" w:eastAsia="Arial" w:hAnsi="Arial" w:cs="Arial"/>
                <w:sz w:val="20"/>
                <w:szCs w:val="20"/>
              </w:rPr>
              <w:t>,</w:t>
            </w:r>
            <w:r w:rsidR="009907F6" w:rsidRPr="004A48E4">
              <w:rPr>
                <w:rFonts w:ascii="Arial" w:eastAsia="Arial" w:hAnsi="Arial" w:cs="Arial"/>
                <w:sz w:val="20"/>
                <w:szCs w:val="20"/>
              </w:rPr>
              <w:t xml:space="preserve"> D</w:t>
            </w:r>
            <w:r w:rsidR="009907F6">
              <w:rPr>
                <w:rFonts w:ascii="Arial" w:eastAsia="Arial" w:hAnsi="Arial" w:cs="Arial"/>
                <w:sz w:val="20"/>
                <w:szCs w:val="20"/>
              </w:rPr>
              <w:t>.</w:t>
            </w:r>
            <w:r w:rsidR="009907F6" w:rsidRPr="004A48E4">
              <w:rPr>
                <w:rFonts w:ascii="Arial" w:eastAsia="Arial" w:hAnsi="Arial" w:cs="Arial"/>
                <w:sz w:val="20"/>
                <w:szCs w:val="20"/>
              </w:rPr>
              <w:t>P</w:t>
            </w:r>
            <w:r w:rsidR="009907F6">
              <w:rPr>
                <w:rFonts w:ascii="Arial" w:eastAsia="Arial" w:hAnsi="Arial" w:cs="Arial"/>
                <w:sz w:val="20"/>
                <w:szCs w:val="20"/>
              </w:rPr>
              <w:t>.</w:t>
            </w:r>
            <w:r w:rsidR="009907F6" w:rsidRPr="004A48E4">
              <w:rPr>
                <w:rFonts w:ascii="Arial" w:eastAsia="Arial" w:hAnsi="Arial" w:cs="Arial"/>
                <w:sz w:val="20"/>
                <w:szCs w:val="20"/>
              </w:rPr>
              <w:t>R</w:t>
            </w:r>
            <w:r w:rsidR="009907F6">
              <w:rPr>
                <w:rFonts w:ascii="Arial" w:eastAsia="Arial" w:hAnsi="Arial" w:cs="Arial"/>
                <w:sz w:val="20"/>
                <w:szCs w:val="20"/>
              </w:rPr>
              <w:t>.</w:t>
            </w:r>
            <w:r w:rsidR="009907F6" w:rsidRPr="004A48E4">
              <w:rPr>
                <w:rFonts w:ascii="Arial" w:eastAsia="Arial" w:hAnsi="Arial" w:cs="Arial"/>
                <w:sz w:val="20"/>
                <w:szCs w:val="20"/>
              </w:rPr>
              <w:t xml:space="preserve"> </w:t>
            </w:r>
            <w:r w:rsidR="009907F6">
              <w:rPr>
                <w:rFonts w:ascii="Arial" w:eastAsia="Arial" w:hAnsi="Arial" w:cs="Arial"/>
                <w:sz w:val="20"/>
                <w:szCs w:val="20"/>
              </w:rPr>
              <w:t xml:space="preserve">n. </w:t>
            </w:r>
            <w:r w:rsidR="009907F6" w:rsidRPr="004A48E4">
              <w:rPr>
                <w:rFonts w:ascii="Arial" w:eastAsia="Arial" w:hAnsi="Arial" w:cs="Arial"/>
                <w:sz w:val="20"/>
                <w:szCs w:val="20"/>
              </w:rPr>
              <w:t>633/</w:t>
            </w:r>
            <w:r w:rsidR="009907F6">
              <w:rPr>
                <w:rFonts w:ascii="Arial" w:eastAsia="Arial" w:hAnsi="Arial" w:cs="Arial"/>
                <w:sz w:val="20"/>
                <w:szCs w:val="20"/>
              </w:rPr>
              <w:t>19</w:t>
            </w:r>
            <w:r w:rsidR="009907F6" w:rsidRPr="004A48E4">
              <w:rPr>
                <w:rFonts w:ascii="Arial" w:eastAsia="Arial" w:hAnsi="Arial" w:cs="Arial"/>
                <w:sz w:val="20"/>
                <w:szCs w:val="20"/>
              </w:rPr>
              <w:t>72</w:t>
            </w:r>
          </w:p>
        </w:tc>
        <w:tc>
          <w:tcPr>
            <w:tcW w:w="2522" w:type="dxa"/>
            <w:vAlign w:val="center"/>
            <w:hideMark/>
          </w:tcPr>
          <w:p w14:paraId="1898D8E5"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10</w:t>
            </w:r>
          </w:p>
        </w:tc>
        <w:tc>
          <w:tcPr>
            <w:tcW w:w="2925" w:type="dxa"/>
            <w:vAlign w:val="center"/>
            <w:hideMark/>
          </w:tcPr>
          <w:p w14:paraId="3AC57ADF"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Aggiornamento descrizioni e tracciati XML per prestazioni</w:t>
            </w:r>
          </w:p>
        </w:tc>
      </w:tr>
      <w:tr w:rsidR="004B5DEB" w:rsidRPr="004A48E4" w14:paraId="5D4C213D" w14:textId="77777777" w:rsidTr="004B5DEB">
        <w:trPr>
          <w:tblCellSpacing w:w="15" w:type="dxa"/>
        </w:trPr>
        <w:tc>
          <w:tcPr>
            <w:tcW w:w="0" w:type="auto"/>
            <w:vAlign w:val="center"/>
            <w:hideMark/>
          </w:tcPr>
          <w:p w14:paraId="4BE8C0C2"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Cessioni Intra-UE</w:t>
            </w:r>
          </w:p>
        </w:tc>
        <w:tc>
          <w:tcPr>
            <w:tcW w:w="2065" w:type="dxa"/>
            <w:vAlign w:val="center"/>
            <w:hideMark/>
          </w:tcPr>
          <w:p w14:paraId="3B37BE13" w14:textId="25C4E8DA"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41</w:t>
            </w:r>
            <w:r w:rsidR="009907F6">
              <w:rPr>
                <w:rFonts w:ascii="Arial" w:eastAsia="Arial" w:hAnsi="Arial" w:cs="Arial"/>
                <w:sz w:val="20"/>
                <w:szCs w:val="20"/>
              </w:rPr>
              <w:t>,</w:t>
            </w:r>
            <w:r w:rsidRPr="004A48E4">
              <w:rPr>
                <w:rFonts w:ascii="Arial" w:eastAsia="Arial" w:hAnsi="Arial" w:cs="Arial"/>
                <w:sz w:val="20"/>
                <w:szCs w:val="20"/>
              </w:rPr>
              <w:t xml:space="preserve"> D.L. </w:t>
            </w:r>
            <w:r w:rsidR="009907F6">
              <w:rPr>
                <w:rFonts w:ascii="Arial" w:eastAsia="Arial" w:hAnsi="Arial" w:cs="Arial"/>
                <w:sz w:val="20"/>
                <w:szCs w:val="20"/>
              </w:rPr>
              <w:t xml:space="preserve">n. </w:t>
            </w:r>
            <w:r w:rsidRPr="004A48E4">
              <w:rPr>
                <w:rFonts w:ascii="Arial" w:eastAsia="Arial" w:hAnsi="Arial" w:cs="Arial"/>
                <w:sz w:val="20"/>
                <w:szCs w:val="20"/>
              </w:rPr>
              <w:t>331/1993</w:t>
            </w:r>
          </w:p>
        </w:tc>
        <w:tc>
          <w:tcPr>
            <w:tcW w:w="2522" w:type="dxa"/>
            <w:vAlign w:val="center"/>
            <w:hideMark/>
          </w:tcPr>
          <w:p w14:paraId="6483B272"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39</w:t>
            </w:r>
          </w:p>
        </w:tc>
        <w:tc>
          <w:tcPr>
            <w:tcW w:w="2925" w:type="dxa"/>
            <w:vAlign w:val="center"/>
            <w:hideMark/>
          </w:tcPr>
          <w:p w14:paraId="2B61AD8F"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Raccordo con anagrafiche VIES e procedure di vendita estero</w:t>
            </w:r>
          </w:p>
        </w:tc>
      </w:tr>
      <w:tr w:rsidR="004B5DEB" w:rsidRPr="004A48E4" w14:paraId="6A9C3973" w14:textId="77777777" w:rsidTr="004B5DEB">
        <w:trPr>
          <w:tblCellSpacing w:w="15" w:type="dxa"/>
        </w:trPr>
        <w:tc>
          <w:tcPr>
            <w:tcW w:w="0" w:type="auto"/>
            <w:vAlign w:val="center"/>
            <w:hideMark/>
          </w:tcPr>
          <w:p w14:paraId="4CA3F647"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Momento impositivo</w:t>
            </w:r>
          </w:p>
        </w:tc>
        <w:tc>
          <w:tcPr>
            <w:tcW w:w="2065" w:type="dxa"/>
            <w:vAlign w:val="center"/>
            <w:hideMark/>
          </w:tcPr>
          <w:p w14:paraId="492BE8D2" w14:textId="5857C50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6</w:t>
            </w:r>
            <w:r w:rsidR="009907F6">
              <w:rPr>
                <w:rFonts w:ascii="Arial" w:eastAsia="Arial" w:hAnsi="Arial" w:cs="Arial"/>
                <w:sz w:val="20"/>
                <w:szCs w:val="20"/>
              </w:rPr>
              <w:t>,</w:t>
            </w:r>
            <w:r w:rsidR="009907F6" w:rsidRPr="004A48E4">
              <w:rPr>
                <w:rFonts w:ascii="Arial" w:eastAsia="Arial" w:hAnsi="Arial" w:cs="Arial"/>
                <w:sz w:val="20"/>
                <w:szCs w:val="20"/>
              </w:rPr>
              <w:t xml:space="preserve"> D</w:t>
            </w:r>
            <w:r w:rsidR="009907F6">
              <w:rPr>
                <w:rFonts w:ascii="Arial" w:eastAsia="Arial" w:hAnsi="Arial" w:cs="Arial"/>
                <w:sz w:val="20"/>
                <w:szCs w:val="20"/>
              </w:rPr>
              <w:t>.</w:t>
            </w:r>
            <w:r w:rsidR="009907F6" w:rsidRPr="004A48E4">
              <w:rPr>
                <w:rFonts w:ascii="Arial" w:eastAsia="Arial" w:hAnsi="Arial" w:cs="Arial"/>
                <w:sz w:val="20"/>
                <w:szCs w:val="20"/>
              </w:rPr>
              <w:t>P</w:t>
            </w:r>
            <w:r w:rsidR="009907F6">
              <w:rPr>
                <w:rFonts w:ascii="Arial" w:eastAsia="Arial" w:hAnsi="Arial" w:cs="Arial"/>
                <w:sz w:val="20"/>
                <w:szCs w:val="20"/>
              </w:rPr>
              <w:t>.</w:t>
            </w:r>
            <w:r w:rsidR="009907F6" w:rsidRPr="004A48E4">
              <w:rPr>
                <w:rFonts w:ascii="Arial" w:eastAsia="Arial" w:hAnsi="Arial" w:cs="Arial"/>
                <w:sz w:val="20"/>
                <w:szCs w:val="20"/>
              </w:rPr>
              <w:t>R</w:t>
            </w:r>
            <w:r w:rsidR="009907F6">
              <w:rPr>
                <w:rFonts w:ascii="Arial" w:eastAsia="Arial" w:hAnsi="Arial" w:cs="Arial"/>
                <w:sz w:val="20"/>
                <w:szCs w:val="20"/>
              </w:rPr>
              <w:t>.</w:t>
            </w:r>
            <w:r w:rsidR="009907F6" w:rsidRPr="004A48E4">
              <w:rPr>
                <w:rFonts w:ascii="Arial" w:eastAsia="Arial" w:hAnsi="Arial" w:cs="Arial"/>
                <w:sz w:val="20"/>
                <w:szCs w:val="20"/>
              </w:rPr>
              <w:t xml:space="preserve"> </w:t>
            </w:r>
            <w:r w:rsidR="009907F6">
              <w:rPr>
                <w:rFonts w:ascii="Arial" w:eastAsia="Arial" w:hAnsi="Arial" w:cs="Arial"/>
                <w:sz w:val="20"/>
                <w:szCs w:val="20"/>
              </w:rPr>
              <w:t xml:space="preserve">n. </w:t>
            </w:r>
            <w:r w:rsidR="009907F6" w:rsidRPr="004A48E4">
              <w:rPr>
                <w:rFonts w:ascii="Arial" w:eastAsia="Arial" w:hAnsi="Arial" w:cs="Arial"/>
                <w:sz w:val="20"/>
                <w:szCs w:val="20"/>
              </w:rPr>
              <w:t>633/</w:t>
            </w:r>
            <w:r w:rsidR="009907F6">
              <w:rPr>
                <w:rFonts w:ascii="Arial" w:eastAsia="Arial" w:hAnsi="Arial" w:cs="Arial"/>
                <w:sz w:val="20"/>
                <w:szCs w:val="20"/>
              </w:rPr>
              <w:t>19</w:t>
            </w:r>
            <w:r w:rsidR="009907F6" w:rsidRPr="004A48E4">
              <w:rPr>
                <w:rFonts w:ascii="Arial" w:eastAsia="Arial" w:hAnsi="Arial" w:cs="Arial"/>
                <w:sz w:val="20"/>
                <w:szCs w:val="20"/>
              </w:rPr>
              <w:t>72</w:t>
            </w:r>
          </w:p>
        </w:tc>
        <w:tc>
          <w:tcPr>
            <w:tcW w:w="2522" w:type="dxa"/>
            <w:vAlign w:val="center"/>
            <w:hideMark/>
          </w:tcPr>
          <w:p w14:paraId="348F90C3"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24</w:t>
            </w:r>
          </w:p>
        </w:tc>
        <w:tc>
          <w:tcPr>
            <w:tcW w:w="2925" w:type="dxa"/>
            <w:vAlign w:val="center"/>
            <w:hideMark/>
          </w:tcPr>
          <w:p w14:paraId="02B165D4"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Gestione del “punto fiscale” coordinato per vendite interne e UE</w:t>
            </w:r>
          </w:p>
        </w:tc>
      </w:tr>
      <w:tr w:rsidR="004B5DEB" w:rsidRPr="004A48E4" w14:paraId="21A4CB71" w14:textId="77777777" w:rsidTr="004B5DEB">
        <w:trPr>
          <w:tblCellSpacing w:w="15" w:type="dxa"/>
        </w:trPr>
        <w:tc>
          <w:tcPr>
            <w:tcW w:w="0" w:type="auto"/>
            <w:vAlign w:val="center"/>
            <w:hideMark/>
          </w:tcPr>
          <w:p w14:paraId="0654DCE8" w14:textId="77777777"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b/>
                <w:bCs/>
                <w:sz w:val="20"/>
                <w:szCs w:val="20"/>
              </w:rPr>
              <w:t>Base imponibile</w:t>
            </w:r>
          </w:p>
        </w:tc>
        <w:tc>
          <w:tcPr>
            <w:tcW w:w="2065" w:type="dxa"/>
            <w:vAlign w:val="center"/>
            <w:hideMark/>
          </w:tcPr>
          <w:p w14:paraId="00AB5886" w14:textId="3736650E"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sz w:val="20"/>
                <w:szCs w:val="20"/>
              </w:rPr>
              <w:t>Art. 13</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486FAE8C" w14:textId="77777777"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sz w:val="20"/>
                <w:szCs w:val="20"/>
              </w:rPr>
              <w:t>Art. 27</w:t>
            </w:r>
          </w:p>
        </w:tc>
        <w:tc>
          <w:tcPr>
            <w:tcW w:w="2925" w:type="dxa"/>
            <w:vAlign w:val="center"/>
            <w:hideMark/>
          </w:tcPr>
          <w:p w14:paraId="7F880E98"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sz w:val="20"/>
                <w:szCs w:val="20"/>
              </w:rPr>
              <w:t>Criteri immutati; aggiornamento richiami nella modulistica</w:t>
            </w:r>
          </w:p>
        </w:tc>
      </w:tr>
      <w:tr w:rsidR="004B5DEB" w:rsidRPr="004A48E4" w14:paraId="27C25FD0" w14:textId="77777777" w:rsidTr="004B5DEB">
        <w:trPr>
          <w:tblCellSpacing w:w="15" w:type="dxa"/>
        </w:trPr>
        <w:tc>
          <w:tcPr>
            <w:tcW w:w="0" w:type="auto"/>
            <w:vAlign w:val="center"/>
            <w:hideMark/>
          </w:tcPr>
          <w:p w14:paraId="4A1D6905"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Valore normale</w:t>
            </w:r>
          </w:p>
        </w:tc>
        <w:tc>
          <w:tcPr>
            <w:tcW w:w="2065" w:type="dxa"/>
            <w:vAlign w:val="center"/>
            <w:hideMark/>
          </w:tcPr>
          <w:p w14:paraId="6552BCC8" w14:textId="04F30B39"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14</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322127F0"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28</w:t>
            </w:r>
          </w:p>
        </w:tc>
        <w:tc>
          <w:tcPr>
            <w:tcW w:w="2925" w:type="dxa"/>
            <w:vAlign w:val="center"/>
            <w:hideMark/>
          </w:tcPr>
          <w:p w14:paraId="3D05EF84" w14:textId="1E3759AA"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Aggiornamento documentazione e policy di</w:t>
            </w:r>
            <w:r w:rsidR="00DB7B6E">
              <w:rPr>
                <w:rFonts w:ascii="Arial" w:eastAsia="Arial" w:hAnsi="Arial" w:cs="Arial"/>
                <w:sz w:val="20"/>
                <w:szCs w:val="20"/>
              </w:rPr>
              <w:t xml:space="preserve"> </w:t>
            </w:r>
            <w:r w:rsidRPr="004A48E4">
              <w:rPr>
                <w:rFonts w:ascii="Arial" w:eastAsia="Arial" w:hAnsi="Arial" w:cs="Arial"/>
                <w:i/>
                <w:iCs/>
                <w:sz w:val="20"/>
                <w:szCs w:val="20"/>
              </w:rPr>
              <w:t>transfer pricing</w:t>
            </w:r>
          </w:p>
        </w:tc>
      </w:tr>
      <w:tr w:rsidR="004B5DEB" w:rsidRPr="004A48E4" w14:paraId="3747FB23" w14:textId="77777777" w:rsidTr="004B5DEB">
        <w:trPr>
          <w:tblCellSpacing w:w="15" w:type="dxa"/>
        </w:trPr>
        <w:tc>
          <w:tcPr>
            <w:tcW w:w="0" w:type="auto"/>
            <w:vAlign w:val="center"/>
            <w:hideMark/>
          </w:tcPr>
          <w:p w14:paraId="66E285A1" w14:textId="34E9CD5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Esclusioni da base imp</w:t>
            </w:r>
            <w:r w:rsidR="00DB7B6E">
              <w:rPr>
                <w:rFonts w:ascii="Arial" w:eastAsia="Arial" w:hAnsi="Arial" w:cs="Arial"/>
                <w:b/>
                <w:bCs/>
                <w:sz w:val="20"/>
                <w:szCs w:val="20"/>
              </w:rPr>
              <w:t>onibile</w:t>
            </w:r>
          </w:p>
        </w:tc>
        <w:tc>
          <w:tcPr>
            <w:tcW w:w="2065" w:type="dxa"/>
            <w:vAlign w:val="center"/>
            <w:hideMark/>
          </w:tcPr>
          <w:p w14:paraId="1B2D4DE1" w14:textId="3B502C5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15 (anticipazioni n. 3</w:t>
            </w:r>
            <w:proofErr w:type="gramStart"/>
            <w:r w:rsidRPr="004A48E4">
              <w:rPr>
                <w:rFonts w:ascii="Arial" w:eastAsia="Arial" w:hAnsi="Arial" w:cs="Arial"/>
                <w:sz w:val="20"/>
                <w:szCs w:val="20"/>
              </w:rPr>
              <w:t>)</w:t>
            </w:r>
            <w:r w:rsidR="00DB7B6E">
              <w:rPr>
                <w:rFonts w:ascii="Arial" w:eastAsia="Arial" w:hAnsi="Arial" w:cs="Arial"/>
                <w:sz w:val="20"/>
                <w:szCs w:val="20"/>
              </w:rPr>
              <w:t xml:space="preserve"> ,</w:t>
            </w:r>
            <w:proofErr w:type="gramEnd"/>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341162CB" w14:textId="5EF42020"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29</w:t>
            </w:r>
            <w:r w:rsidR="00DB7B6E">
              <w:rPr>
                <w:rFonts w:ascii="Arial" w:eastAsia="Arial" w:hAnsi="Arial" w:cs="Arial"/>
                <w:sz w:val="20"/>
                <w:szCs w:val="20"/>
              </w:rPr>
              <w:t xml:space="preserve"> </w:t>
            </w:r>
            <w:r w:rsidRPr="009907F6">
              <w:rPr>
                <w:rFonts w:ascii="Arial" w:eastAsia="Arial" w:hAnsi="Arial" w:cs="Arial"/>
                <w:sz w:val="20"/>
                <w:szCs w:val="20"/>
              </w:rPr>
              <w:t>(comma 1, lett. c)</w:t>
            </w:r>
          </w:p>
        </w:tc>
        <w:tc>
          <w:tcPr>
            <w:tcW w:w="2925" w:type="dxa"/>
            <w:vAlign w:val="center"/>
            <w:hideMark/>
          </w:tcPr>
          <w:p w14:paraId="1A07C61D"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Gestione di anticipazioni, rimborsi spesa, sanzioni e penalità</w:t>
            </w:r>
          </w:p>
        </w:tc>
      </w:tr>
      <w:tr w:rsidR="004B5DEB" w:rsidRPr="004A48E4" w14:paraId="55A36940" w14:textId="77777777" w:rsidTr="004B5DEB">
        <w:trPr>
          <w:tblCellSpacing w:w="15" w:type="dxa"/>
        </w:trPr>
        <w:tc>
          <w:tcPr>
            <w:tcW w:w="0" w:type="auto"/>
            <w:vAlign w:val="center"/>
            <w:hideMark/>
          </w:tcPr>
          <w:p w14:paraId="5F7A34D2"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Aliquote d’imposta</w:t>
            </w:r>
          </w:p>
        </w:tc>
        <w:tc>
          <w:tcPr>
            <w:tcW w:w="2065" w:type="dxa"/>
            <w:vAlign w:val="center"/>
            <w:hideMark/>
          </w:tcPr>
          <w:p w14:paraId="6E494496" w14:textId="3B637499"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16</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0BD928B4"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34</w:t>
            </w:r>
          </w:p>
        </w:tc>
        <w:tc>
          <w:tcPr>
            <w:tcW w:w="2925" w:type="dxa"/>
            <w:vAlign w:val="center"/>
            <w:hideMark/>
          </w:tcPr>
          <w:p w14:paraId="24FB3EC2" w14:textId="04FEE181"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Confluenza di 4%, 5%, 10% e 22% (aliquota ordinaria al co</w:t>
            </w:r>
            <w:r w:rsidR="00DB7B6E">
              <w:rPr>
                <w:rFonts w:ascii="Arial" w:eastAsia="Arial" w:hAnsi="Arial" w:cs="Arial"/>
                <w:sz w:val="20"/>
                <w:szCs w:val="20"/>
              </w:rPr>
              <w:t>mma</w:t>
            </w:r>
            <w:r w:rsidRPr="004A48E4">
              <w:rPr>
                <w:rFonts w:ascii="Arial" w:eastAsia="Arial" w:hAnsi="Arial" w:cs="Arial"/>
                <w:sz w:val="20"/>
                <w:szCs w:val="20"/>
              </w:rPr>
              <w:t xml:space="preserve"> 1)</w:t>
            </w:r>
          </w:p>
        </w:tc>
      </w:tr>
      <w:tr w:rsidR="004B5DEB" w:rsidRPr="004A48E4" w14:paraId="395B862F" w14:textId="77777777" w:rsidTr="004B5DEB">
        <w:trPr>
          <w:tblCellSpacing w:w="15" w:type="dxa"/>
        </w:trPr>
        <w:tc>
          <w:tcPr>
            <w:tcW w:w="0" w:type="auto"/>
            <w:vAlign w:val="center"/>
            <w:hideMark/>
          </w:tcPr>
          <w:p w14:paraId="79098EBE"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Operazioni esenti</w:t>
            </w:r>
          </w:p>
        </w:tc>
        <w:tc>
          <w:tcPr>
            <w:tcW w:w="2065" w:type="dxa"/>
            <w:vAlign w:val="center"/>
            <w:hideMark/>
          </w:tcPr>
          <w:p w14:paraId="7EB60EB3" w14:textId="307E5161"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10</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295ED6A6"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37</w:t>
            </w:r>
          </w:p>
        </w:tc>
        <w:tc>
          <w:tcPr>
            <w:tcW w:w="2925" w:type="dxa"/>
            <w:vAlign w:val="center"/>
            <w:hideMark/>
          </w:tcPr>
          <w:p w14:paraId="365D6E41"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Riorganizzazione sistematica delle oltre 30 casistiche di esenzione</w:t>
            </w:r>
          </w:p>
        </w:tc>
      </w:tr>
      <w:tr w:rsidR="004B5DEB" w:rsidRPr="004A48E4" w14:paraId="5D1A9F57" w14:textId="77777777" w:rsidTr="004B5DEB">
        <w:trPr>
          <w:tblCellSpacing w:w="15" w:type="dxa"/>
        </w:trPr>
        <w:tc>
          <w:tcPr>
            <w:tcW w:w="0" w:type="auto"/>
            <w:vAlign w:val="center"/>
            <w:hideMark/>
          </w:tcPr>
          <w:p w14:paraId="0737995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Diritto alla detrazione</w:t>
            </w:r>
          </w:p>
        </w:tc>
        <w:tc>
          <w:tcPr>
            <w:tcW w:w="2065" w:type="dxa"/>
            <w:vAlign w:val="center"/>
            <w:hideMark/>
          </w:tcPr>
          <w:p w14:paraId="7B03218E" w14:textId="46A4387A"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19</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422B3B33" w14:textId="24667B1E"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sz w:val="20"/>
                <w:szCs w:val="20"/>
              </w:rPr>
              <w:t>Art. 56</w:t>
            </w:r>
            <w:r w:rsidR="00DB7B6E" w:rsidRPr="00DB7B6E">
              <w:rPr>
                <w:rFonts w:ascii="Arial" w:eastAsia="Arial" w:hAnsi="Arial" w:cs="Arial"/>
                <w:sz w:val="20"/>
                <w:szCs w:val="20"/>
              </w:rPr>
              <w:t xml:space="preserve"> </w:t>
            </w:r>
            <w:r w:rsidRPr="00DB7B6E">
              <w:rPr>
                <w:rFonts w:ascii="Arial" w:eastAsia="Arial" w:hAnsi="Arial" w:cs="Arial"/>
                <w:sz w:val="20"/>
                <w:szCs w:val="20"/>
              </w:rPr>
              <w:t>(co</w:t>
            </w:r>
            <w:r w:rsidR="00DB7B6E" w:rsidRPr="00DB7B6E">
              <w:rPr>
                <w:rFonts w:ascii="Arial" w:eastAsia="Arial" w:hAnsi="Arial" w:cs="Arial"/>
                <w:sz w:val="20"/>
                <w:szCs w:val="20"/>
              </w:rPr>
              <w:t>mma</w:t>
            </w:r>
            <w:r w:rsidRPr="00DB7B6E">
              <w:rPr>
                <w:rFonts w:ascii="Arial" w:eastAsia="Arial" w:hAnsi="Arial" w:cs="Arial"/>
                <w:sz w:val="20"/>
                <w:szCs w:val="20"/>
              </w:rPr>
              <w:t xml:space="preserve"> 7 per Intra-UE)</w:t>
            </w:r>
          </w:p>
        </w:tc>
        <w:tc>
          <w:tcPr>
            <w:tcW w:w="2925" w:type="dxa"/>
            <w:vAlign w:val="center"/>
            <w:hideMark/>
          </w:tcPr>
          <w:p w14:paraId="0F8ADBB0"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Criteri di inerenza e tempestività dell’imposta assolta</w:t>
            </w:r>
          </w:p>
        </w:tc>
      </w:tr>
      <w:tr w:rsidR="004B5DEB" w:rsidRPr="004A48E4" w14:paraId="53F571F9" w14:textId="77777777" w:rsidTr="004B5DEB">
        <w:trPr>
          <w:tblCellSpacing w:w="15" w:type="dxa"/>
        </w:trPr>
        <w:tc>
          <w:tcPr>
            <w:tcW w:w="0" w:type="auto"/>
            <w:vAlign w:val="center"/>
            <w:hideMark/>
          </w:tcPr>
          <w:p w14:paraId="615FB37B"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Limitazioni oggettive</w:t>
            </w:r>
          </w:p>
        </w:tc>
        <w:tc>
          <w:tcPr>
            <w:tcW w:w="2065" w:type="dxa"/>
            <w:vAlign w:val="center"/>
            <w:hideMark/>
          </w:tcPr>
          <w:p w14:paraId="2F755E96" w14:textId="04E5B9AF"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lang w:val="en-US"/>
              </w:rPr>
            </w:pPr>
            <w:r w:rsidRPr="00DB7B6E">
              <w:rPr>
                <w:rFonts w:ascii="Arial" w:eastAsia="Arial" w:hAnsi="Arial" w:cs="Arial"/>
                <w:sz w:val="20"/>
                <w:szCs w:val="20"/>
                <w:lang w:val="en-US"/>
              </w:rPr>
              <w:t>Art. 19-bis1</w:t>
            </w:r>
            <w:r w:rsidR="00DB7B6E" w:rsidRPr="00DB7B6E">
              <w:rPr>
                <w:rFonts w:ascii="Arial" w:eastAsia="Arial" w:hAnsi="Arial" w:cs="Arial"/>
                <w:sz w:val="20"/>
                <w:szCs w:val="20"/>
                <w:lang w:val="en-US"/>
              </w:rPr>
              <w:t>, D.P.R. n. 633/1972</w:t>
            </w:r>
          </w:p>
        </w:tc>
        <w:tc>
          <w:tcPr>
            <w:tcW w:w="2522" w:type="dxa"/>
            <w:vAlign w:val="center"/>
            <w:hideMark/>
          </w:tcPr>
          <w:p w14:paraId="44BA5F5B"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58</w:t>
            </w:r>
          </w:p>
        </w:tc>
        <w:tc>
          <w:tcPr>
            <w:tcW w:w="2925" w:type="dxa"/>
            <w:vAlign w:val="center"/>
            <w:hideMark/>
          </w:tcPr>
          <w:p w14:paraId="3CE90F1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Disciplina per auto aziendali, telefonia, omaggi e rappresentanza</w:t>
            </w:r>
          </w:p>
        </w:tc>
      </w:tr>
      <w:tr w:rsidR="004B5DEB" w:rsidRPr="004A48E4" w14:paraId="42714510" w14:textId="77777777" w:rsidTr="004B5DEB">
        <w:trPr>
          <w:tblCellSpacing w:w="15" w:type="dxa"/>
        </w:trPr>
        <w:tc>
          <w:tcPr>
            <w:tcW w:w="0" w:type="auto"/>
            <w:vAlign w:val="center"/>
            <w:hideMark/>
          </w:tcPr>
          <w:p w14:paraId="0A223E45"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Rettifica detrazione</w:t>
            </w:r>
          </w:p>
        </w:tc>
        <w:tc>
          <w:tcPr>
            <w:tcW w:w="2065" w:type="dxa"/>
            <w:vAlign w:val="center"/>
            <w:hideMark/>
          </w:tcPr>
          <w:p w14:paraId="5EBB8441" w14:textId="5F425D7A"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lang w:val="en-US"/>
              </w:rPr>
            </w:pPr>
            <w:r w:rsidRPr="00DB7B6E">
              <w:rPr>
                <w:rFonts w:ascii="Arial" w:eastAsia="Arial" w:hAnsi="Arial" w:cs="Arial"/>
                <w:sz w:val="20"/>
                <w:szCs w:val="20"/>
                <w:lang w:val="en-US"/>
              </w:rPr>
              <w:t>Art. 19-bis2</w:t>
            </w:r>
            <w:r w:rsidR="00DB7B6E" w:rsidRPr="00DB7B6E">
              <w:rPr>
                <w:rFonts w:ascii="Arial" w:eastAsia="Arial" w:hAnsi="Arial" w:cs="Arial"/>
                <w:sz w:val="20"/>
                <w:szCs w:val="20"/>
                <w:lang w:val="en-US"/>
              </w:rPr>
              <w:t>, D.P.R. n. 633/1972</w:t>
            </w:r>
          </w:p>
        </w:tc>
        <w:tc>
          <w:tcPr>
            <w:tcW w:w="2522" w:type="dxa"/>
            <w:vAlign w:val="center"/>
            <w:hideMark/>
          </w:tcPr>
          <w:p w14:paraId="5ACD8B60"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59</w:t>
            </w:r>
          </w:p>
        </w:tc>
        <w:tc>
          <w:tcPr>
            <w:tcW w:w="2925" w:type="dxa"/>
            <w:vAlign w:val="center"/>
            <w:hideMark/>
          </w:tcPr>
          <w:p w14:paraId="1A68D2F2"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Confermata la sorveglianza quinquennale (rettifica in quinti)</w:t>
            </w:r>
          </w:p>
        </w:tc>
      </w:tr>
      <w:tr w:rsidR="004B5DEB" w:rsidRPr="004A48E4" w14:paraId="3DC89CDF" w14:textId="77777777" w:rsidTr="004B5DEB">
        <w:trPr>
          <w:tblCellSpacing w:w="15" w:type="dxa"/>
        </w:trPr>
        <w:tc>
          <w:tcPr>
            <w:tcW w:w="0" w:type="auto"/>
            <w:vAlign w:val="center"/>
            <w:hideMark/>
          </w:tcPr>
          <w:p w14:paraId="0E7344AB" w14:textId="44B04D59"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 xml:space="preserve">Reverse </w:t>
            </w:r>
            <w:proofErr w:type="spellStart"/>
            <w:r w:rsidR="00DB7B6E">
              <w:rPr>
                <w:rFonts w:ascii="Arial" w:eastAsia="Arial" w:hAnsi="Arial" w:cs="Arial"/>
                <w:b/>
                <w:bCs/>
                <w:sz w:val="20"/>
                <w:szCs w:val="20"/>
              </w:rPr>
              <w:t>c</w:t>
            </w:r>
            <w:r w:rsidRPr="004A48E4">
              <w:rPr>
                <w:rFonts w:ascii="Arial" w:eastAsia="Arial" w:hAnsi="Arial" w:cs="Arial"/>
                <w:b/>
                <w:bCs/>
                <w:sz w:val="20"/>
                <w:szCs w:val="20"/>
              </w:rPr>
              <w:t>harge</w:t>
            </w:r>
            <w:proofErr w:type="spellEnd"/>
          </w:p>
        </w:tc>
        <w:tc>
          <w:tcPr>
            <w:tcW w:w="2065" w:type="dxa"/>
            <w:vAlign w:val="center"/>
            <w:hideMark/>
          </w:tcPr>
          <w:p w14:paraId="771DFD07" w14:textId="75690DDD"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17 (interno ed esterno)</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5480FC7D"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64</w:t>
            </w:r>
          </w:p>
        </w:tc>
        <w:tc>
          <w:tcPr>
            <w:tcW w:w="2925" w:type="dxa"/>
            <w:vAlign w:val="center"/>
            <w:hideMark/>
          </w:tcPr>
          <w:p w14:paraId="7363267E"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Unificazione delle fattispecie (edilizia, logistica, acquisti esteri)</w:t>
            </w:r>
          </w:p>
        </w:tc>
      </w:tr>
      <w:tr w:rsidR="004B5DEB" w:rsidRPr="004A48E4" w14:paraId="6971D24E" w14:textId="77777777" w:rsidTr="004B5DEB">
        <w:trPr>
          <w:tblCellSpacing w:w="15" w:type="dxa"/>
        </w:trPr>
        <w:tc>
          <w:tcPr>
            <w:tcW w:w="0" w:type="auto"/>
            <w:vAlign w:val="center"/>
            <w:hideMark/>
          </w:tcPr>
          <w:p w14:paraId="5436DC78" w14:textId="40C831DB"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lastRenderedPageBreak/>
              <w:t xml:space="preserve">Split </w:t>
            </w:r>
            <w:r w:rsidR="00DB7B6E">
              <w:rPr>
                <w:rFonts w:ascii="Arial" w:eastAsia="Arial" w:hAnsi="Arial" w:cs="Arial"/>
                <w:b/>
                <w:bCs/>
                <w:sz w:val="20"/>
                <w:szCs w:val="20"/>
              </w:rPr>
              <w:t>p</w:t>
            </w:r>
            <w:r w:rsidRPr="004A48E4">
              <w:rPr>
                <w:rFonts w:ascii="Arial" w:eastAsia="Arial" w:hAnsi="Arial" w:cs="Arial"/>
                <w:b/>
                <w:bCs/>
                <w:sz w:val="20"/>
                <w:szCs w:val="20"/>
              </w:rPr>
              <w:t>ayment</w:t>
            </w:r>
          </w:p>
        </w:tc>
        <w:tc>
          <w:tcPr>
            <w:tcW w:w="2065" w:type="dxa"/>
            <w:vAlign w:val="center"/>
            <w:hideMark/>
          </w:tcPr>
          <w:p w14:paraId="57B4D00B" w14:textId="763CCA8F"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lang w:val="en-US"/>
              </w:rPr>
            </w:pPr>
            <w:r w:rsidRPr="00DB7B6E">
              <w:rPr>
                <w:rFonts w:ascii="Arial" w:eastAsia="Arial" w:hAnsi="Arial" w:cs="Arial"/>
                <w:sz w:val="20"/>
                <w:szCs w:val="20"/>
                <w:lang w:val="en-US"/>
              </w:rPr>
              <w:t>Art. 17-ter</w:t>
            </w:r>
            <w:r w:rsidR="00DB7B6E" w:rsidRPr="00DB7B6E">
              <w:rPr>
                <w:rFonts w:ascii="Arial" w:eastAsia="Arial" w:hAnsi="Arial" w:cs="Arial"/>
                <w:sz w:val="20"/>
                <w:szCs w:val="20"/>
                <w:lang w:val="en-US"/>
              </w:rPr>
              <w:t>, D.P.R. n. 633/1972</w:t>
            </w:r>
          </w:p>
        </w:tc>
        <w:tc>
          <w:tcPr>
            <w:tcW w:w="2522" w:type="dxa"/>
            <w:vAlign w:val="center"/>
            <w:hideMark/>
          </w:tcPr>
          <w:p w14:paraId="4E9E17C7"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65</w:t>
            </w:r>
          </w:p>
        </w:tc>
        <w:tc>
          <w:tcPr>
            <w:tcW w:w="2925" w:type="dxa"/>
            <w:vAlign w:val="center"/>
            <w:hideMark/>
          </w:tcPr>
          <w:p w14:paraId="220308B5" w14:textId="6C2FCBC1"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Fatturazione a PA e partecipate (escluse quotate FTSE MIB da lug</w:t>
            </w:r>
            <w:r w:rsidR="00DB7B6E">
              <w:rPr>
                <w:rFonts w:ascii="Arial" w:eastAsia="Arial" w:hAnsi="Arial" w:cs="Arial"/>
                <w:sz w:val="20"/>
                <w:szCs w:val="20"/>
              </w:rPr>
              <w:t>lio 20</w:t>
            </w:r>
            <w:r w:rsidRPr="004A48E4">
              <w:rPr>
                <w:rFonts w:ascii="Arial" w:eastAsia="Arial" w:hAnsi="Arial" w:cs="Arial"/>
                <w:sz w:val="20"/>
                <w:szCs w:val="20"/>
              </w:rPr>
              <w:t>25)</w:t>
            </w:r>
          </w:p>
        </w:tc>
      </w:tr>
      <w:tr w:rsidR="004B5DEB" w:rsidRPr="004A48E4" w14:paraId="59481DCF" w14:textId="77777777" w:rsidTr="004B5DEB">
        <w:trPr>
          <w:tblCellSpacing w:w="15" w:type="dxa"/>
        </w:trPr>
        <w:tc>
          <w:tcPr>
            <w:tcW w:w="0" w:type="auto"/>
            <w:vAlign w:val="center"/>
            <w:hideMark/>
          </w:tcPr>
          <w:p w14:paraId="4E9DF046"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Fatturazione ordinaria</w:t>
            </w:r>
          </w:p>
        </w:tc>
        <w:tc>
          <w:tcPr>
            <w:tcW w:w="2065" w:type="dxa"/>
            <w:vAlign w:val="center"/>
            <w:hideMark/>
          </w:tcPr>
          <w:p w14:paraId="1C178386" w14:textId="5F822E09"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21</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4D1D7A34"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72</w:t>
            </w:r>
          </w:p>
        </w:tc>
        <w:tc>
          <w:tcPr>
            <w:tcW w:w="2925" w:type="dxa"/>
            <w:vAlign w:val="center"/>
            <w:hideMark/>
          </w:tcPr>
          <w:p w14:paraId="7EE60483"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Contenuto minimo obbligatorio del tracciato XML</w:t>
            </w:r>
          </w:p>
        </w:tc>
      </w:tr>
      <w:tr w:rsidR="004B5DEB" w:rsidRPr="004A48E4" w14:paraId="12D40CCD" w14:textId="77777777" w:rsidTr="004B5DEB">
        <w:trPr>
          <w:tblCellSpacing w:w="15" w:type="dxa"/>
        </w:trPr>
        <w:tc>
          <w:tcPr>
            <w:tcW w:w="0" w:type="auto"/>
            <w:vAlign w:val="center"/>
            <w:hideMark/>
          </w:tcPr>
          <w:p w14:paraId="3EAC7095"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Fattura semplificata</w:t>
            </w:r>
          </w:p>
        </w:tc>
        <w:tc>
          <w:tcPr>
            <w:tcW w:w="2065" w:type="dxa"/>
            <w:vAlign w:val="center"/>
            <w:hideMark/>
          </w:tcPr>
          <w:p w14:paraId="7867CA8F" w14:textId="79BAA8FB"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lang w:val="en-US"/>
              </w:rPr>
            </w:pPr>
            <w:r w:rsidRPr="00DB7B6E">
              <w:rPr>
                <w:rFonts w:ascii="Arial" w:eastAsia="Arial" w:hAnsi="Arial" w:cs="Arial"/>
                <w:sz w:val="20"/>
                <w:szCs w:val="20"/>
                <w:lang w:val="en-US"/>
              </w:rPr>
              <w:t>Art. 21-bis</w:t>
            </w:r>
            <w:r w:rsidR="00DB7B6E" w:rsidRPr="00DB7B6E">
              <w:rPr>
                <w:rFonts w:ascii="Arial" w:eastAsia="Arial" w:hAnsi="Arial" w:cs="Arial"/>
                <w:sz w:val="20"/>
                <w:szCs w:val="20"/>
                <w:lang w:val="en-US"/>
              </w:rPr>
              <w:t>, D.P.R. n. 633/1972</w:t>
            </w:r>
          </w:p>
        </w:tc>
        <w:tc>
          <w:tcPr>
            <w:tcW w:w="2522" w:type="dxa"/>
            <w:vAlign w:val="center"/>
            <w:hideMark/>
          </w:tcPr>
          <w:p w14:paraId="40D2C643"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73</w:t>
            </w:r>
          </w:p>
        </w:tc>
        <w:tc>
          <w:tcPr>
            <w:tcW w:w="2925" w:type="dxa"/>
            <w:vAlign w:val="center"/>
            <w:hideMark/>
          </w:tcPr>
          <w:p w14:paraId="710CCAF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Condizioni di emissione sotto le soglie di legge</w:t>
            </w:r>
          </w:p>
        </w:tc>
      </w:tr>
      <w:tr w:rsidR="004B5DEB" w:rsidRPr="004A48E4" w14:paraId="52F6DFE9" w14:textId="77777777" w:rsidTr="004B5DEB">
        <w:trPr>
          <w:tblCellSpacing w:w="15" w:type="dxa"/>
        </w:trPr>
        <w:tc>
          <w:tcPr>
            <w:tcW w:w="0" w:type="auto"/>
            <w:vAlign w:val="center"/>
            <w:hideMark/>
          </w:tcPr>
          <w:p w14:paraId="6BFBD37C"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Registri attivi e passivi</w:t>
            </w:r>
          </w:p>
        </w:tc>
        <w:tc>
          <w:tcPr>
            <w:tcW w:w="2065" w:type="dxa"/>
            <w:vAlign w:val="center"/>
            <w:hideMark/>
          </w:tcPr>
          <w:p w14:paraId="36ED3309" w14:textId="6D618610"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Artt. 23 e 25</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44CBA4D4"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Artt. 86 e 88</w:t>
            </w:r>
          </w:p>
        </w:tc>
        <w:tc>
          <w:tcPr>
            <w:tcW w:w="2925" w:type="dxa"/>
            <w:vAlign w:val="center"/>
            <w:hideMark/>
          </w:tcPr>
          <w:p w14:paraId="537F3A92"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Raccordo delle registrazioni e dei termini d’esercizio del diritto</w:t>
            </w:r>
          </w:p>
        </w:tc>
      </w:tr>
      <w:tr w:rsidR="004B5DEB" w:rsidRPr="004A48E4" w14:paraId="21B13F9E" w14:textId="77777777" w:rsidTr="004B5DEB">
        <w:trPr>
          <w:tblCellSpacing w:w="15" w:type="dxa"/>
        </w:trPr>
        <w:tc>
          <w:tcPr>
            <w:tcW w:w="0" w:type="auto"/>
            <w:vAlign w:val="center"/>
            <w:hideMark/>
          </w:tcPr>
          <w:p w14:paraId="63F8C48F"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Note di variazione</w:t>
            </w:r>
          </w:p>
        </w:tc>
        <w:tc>
          <w:tcPr>
            <w:tcW w:w="2065" w:type="dxa"/>
            <w:vAlign w:val="center"/>
            <w:hideMark/>
          </w:tcPr>
          <w:p w14:paraId="599996C3" w14:textId="11BA4CB0"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26</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7439977F"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92</w:t>
            </w:r>
          </w:p>
        </w:tc>
        <w:tc>
          <w:tcPr>
            <w:tcW w:w="2925" w:type="dxa"/>
            <w:vAlign w:val="center"/>
            <w:hideMark/>
          </w:tcPr>
          <w:p w14:paraId="6075C91D"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Note di credito per resi, sconti, rettifiche o procedure concorsuali</w:t>
            </w:r>
          </w:p>
        </w:tc>
      </w:tr>
      <w:tr w:rsidR="004B5DEB" w:rsidRPr="004A48E4" w14:paraId="52477897" w14:textId="77777777" w:rsidTr="004B5DEB">
        <w:trPr>
          <w:tblCellSpacing w:w="15" w:type="dxa"/>
        </w:trPr>
        <w:tc>
          <w:tcPr>
            <w:tcW w:w="0" w:type="auto"/>
            <w:vAlign w:val="center"/>
            <w:hideMark/>
          </w:tcPr>
          <w:p w14:paraId="27E26153"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Conservazione digitale</w:t>
            </w:r>
          </w:p>
        </w:tc>
        <w:tc>
          <w:tcPr>
            <w:tcW w:w="2065" w:type="dxa"/>
            <w:vAlign w:val="center"/>
            <w:hideMark/>
          </w:tcPr>
          <w:p w14:paraId="32BC6739" w14:textId="7250BB56"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Art. 39</w:t>
            </w:r>
            <w:r w:rsidR="00DB7B6E">
              <w:rPr>
                <w:rFonts w:ascii="Arial" w:eastAsia="Arial" w:hAnsi="Arial" w:cs="Arial"/>
                <w:sz w:val="20"/>
                <w:szCs w:val="20"/>
              </w:rPr>
              <w:t>,</w:t>
            </w:r>
            <w:r w:rsidR="00DB7B6E" w:rsidRPr="004A48E4">
              <w:rPr>
                <w:rFonts w:ascii="Arial" w:eastAsia="Arial" w:hAnsi="Arial" w:cs="Arial"/>
                <w:sz w:val="20"/>
                <w:szCs w:val="20"/>
              </w:rPr>
              <w:t xml:space="preserve"> D</w:t>
            </w:r>
            <w:r w:rsidR="00DB7B6E">
              <w:rPr>
                <w:rFonts w:ascii="Arial" w:eastAsia="Arial" w:hAnsi="Arial" w:cs="Arial"/>
                <w:sz w:val="20"/>
                <w:szCs w:val="20"/>
              </w:rPr>
              <w:t>.</w:t>
            </w:r>
            <w:r w:rsidR="00DB7B6E" w:rsidRPr="004A48E4">
              <w:rPr>
                <w:rFonts w:ascii="Arial" w:eastAsia="Arial" w:hAnsi="Arial" w:cs="Arial"/>
                <w:sz w:val="20"/>
                <w:szCs w:val="20"/>
              </w:rPr>
              <w:t>P</w:t>
            </w:r>
            <w:r w:rsidR="00DB7B6E">
              <w:rPr>
                <w:rFonts w:ascii="Arial" w:eastAsia="Arial" w:hAnsi="Arial" w:cs="Arial"/>
                <w:sz w:val="20"/>
                <w:szCs w:val="20"/>
              </w:rPr>
              <w:t>.</w:t>
            </w:r>
            <w:r w:rsidR="00DB7B6E" w:rsidRPr="004A48E4">
              <w:rPr>
                <w:rFonts w:ascii="Arial" w:eastAsia="Arial" w:hAnsi="Arial" w:cs="Arial"/>
                <w:sz w:val="20"/>
                <w:szCs w:val="20"/>
              </w:rPr>
              <w:t>R</w:t>
            </w:r>
            <w:r w:rsidR="00DB7B6E">
              <w:rPr>
                <w:rFonts w:ascii="Arial" w:eastAsia="Arial" w:hAnsi="Arial" w:cs="Arial"/>
                <w:sz w:val="20"/>
                <w:szCs w:val="20"/>
              </w:rPr>
              <w:t>.</w:t>
            </w:r>
            <w:r w:rsidR="00DB7B6E" w:rsidRPr="004A48E4">
              <w:rPr>
                <w:rFonts w:ascii="Arial" w:eastAsia="Arial" w:hAnsi="Arial" w:cs="Arial"/>
                <w:sz w:val="20"/>
                <w:szCs w:val="20"/>
              </w:rPr>
              <w:t xml:space="preserve"> </w:t>
            </w:r>
            <w:r w:rsidR="00DB7B6E">
              <w:rPr>
                <w:rFonts w:ascii="Arial" w:eastAsia="Arial" w:hAnsi="Arial" w:cs="Arial"/>
                <w:sz w:val="20"/>
                <w:szCs w:val="20"/>
              </w:rPr>
              <w:t xml:space="preserve">n. </w:t>
            </w:r>
            <w:r w:rsidR="00DB7B6E" w:rsidRPr="004A48E4">
              <w:rPr>
                <w:rFonts w:ascii="Arial" w:eastAsia="Arial" w:hAnsi="Arial" w:cs="Arial"/>
                <w:sz w:val="20"/>
                <w:szCs w:val="20"/>
              </w:rPr>
              <w:t>633/</w:t>
            </w:r>
            <w:r w:rsidR="00DB7B6E">
              <w:rPr>
                <w:rFonts w:ascii="Arial" w:eastAsia="Arial" w:hAnsi="Arial" w:cs="Arial"/>
                <w:sz w:val="20"/>
                <w:szCs w:val="20"/>
              </w:rPr>
              <w:t>19</w:t>
            </w:r>
            <w:r w:rsidR="00DB7B6E" w:rsidRPr="004A48E4">
              <w:rPr>
                <w:rFonts w:ascii="Arial" w:eastAsia="Arial" w:hAnsi="Arial" w:cs="Arial"/>
                <w:sz w:val="20"/>
                <w:szCs w:val="20"/>
              </w:rPr>
              <w:t>72</w:t>
            </w:r>
          </w:p>
        </w:tc>
        <w:tc>
          <w:tcPr>
            <w:tcW w:w="2522" w:type="dxa"/>
            <w:vAlign w:val="center"/>
            <w:hideMark/>
          </w:tcPr>
          <w:p w14:paraId="00D0C6C9" w14:textId="77777777" w:rsidR="004B5DEB" w:rsidRPr="009907F6"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9907F6">
              <w:rPr>
                <w:rFonts w:ascii="Arial" w:eastAsia="Arial" w:hAnsi="Arial" w:cs="Arial"/>
                <w:sz w:val="20"/>
                <w:szCs w:val="20"/>
              </w:rPr>
              <w:t>Art. 95</w:t>
            </w:r>
          </w:p>
        </w:tc>
        <w:tc>
          <w:tcPr>
            <w:tcW w:w="2925" w:type="dxa"/>
            <w:vAlign w:val="center"/>
            <w:hideMark/>
          </w:tcPr>
          <w:p w14:paraId="6466AEA9"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Presidi di inalterabilità e opponibilità a terzi per registri e XML</w:t>
            </w:r>
          </w:p>
        </w:tc>
      </w:tr>
    </w:tbl>
    <w:p w14:paraId="25D32E10" w14:textId="77777777"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1AEA0D14" w14:textId="483EA1D4"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DB7B6E">
        <w:rPr>
          <w:rFonts w:ascii="Arial" w:eastAsia="Arial" w:hAnsi="Arial" w:cs="Arial"/>
          <w:b/>
          <w:bCs/>
          <w:sz w:val="20"/>
          <w:szCs w:val="20"/>
        </w:rPr>
        <w:t>Operazioni con l’estero e triangolazioni: addio alla carta</w:t>
      </w:r>
    </w:p>
    <w:p w14:paraId="2004720A"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Particolare rilevanza assumono le triangolazioni e le vendite internazionali:</w:t>
      </w:r>
    </w:p>
    <w:p w14:paraId="65979ED4" w14:textId="48D170BF" w:rsidR="004B5DEB" w:rsidRPr="00DB7B6E" w:rsidRDefault="00DB7B6E" w:rsidP="004A48E4">
      <w:pPr>
        <w:pStyle w:val="Paragrafoelenco"/>
        <w:numPr>
          <w:ilvl w:val="0"/>
          <w:numId w:val="21"/>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t</w:t>
      </w:r>
      <w:r w:rsidR="004B5DEB" w:rsidRPr="004A48E4">
        <w:rPr>
          <w:rFonts w:ascii="Arial" w:eastAsia="Arial" w:hAnsi="Arial" w:cs="Arial"/>
          <w:b/>
          <w:bCs/>
          <w:sz w:val="20"/>
          <w:szCs w:val="20"/>
        </w:rPr>
        <w:t>riangolari comunitarie (vendite a catena)</w:t>
      </w:r>
      <w:r w:rsidR="004B5DEB" w:rsidRPr="004A48E4">
        <w:rPr>
          <w:rFonts w:ascii="Arial" w:eastAsia="Arial" w:hAnsi="Arial" w:cs="Arial"/>
          <w:sz w:val="20"/>
          <w:szCs w:val="20"/>
        </w:rPr>
        <w:t xml:space="preserve">: disciplinate </w:t>
      </w:r>
      <w:r w:rsidR="004B5DEB" w:rsidRPr="00DB7B6E">
        <w:rPr>
          <w:rFonts w:ascii="Arial" w:eastAsia="Arial" w:hAnsi="Arial" w:cs="Arial"/>
          <w:sz w:val="20"/>
          <w:szCs w:val="20"/>
        </w:rPr>
        <w:t>dall’</w:t>
      </w:r>
      <w:r>
        <w:rPr>
          <w:rFonts w:ascii="Arial" w:eastAsia="Arial" w:hAnsi="Arial" w:cs="Arial"/>
          <w:sz w:val="20"/>
          <w:szCs w:val="20"/>
        </w:rPr>
        <w:t>a</w:t>
      </w:r>
      <w:r w:rsidR="004B5DEB" w:rsidRPr="00DB7B6E">
        <w:rPr>
          <w:rFonts w:ascii="Arial" w:eastAsia="Arial" w:hAnsi="Arial" w:cs="Arial"/>
          <w:sz w:val="20"/>
          <w:szCs w:val="20"/>
        </w:rPr>
        <w:t>rt. 41</w:t>
      </w:r>
      <w:r>
        <w:rPr>
          <w:rFonts w:ascii="Arial" w:eastAsia="Arial" w:hAnsi="Arial" w:cs="Arial"/>
          <w:sz w:val="20"/>
          <w:szCs w:val="20"/>
        </w:rPr>
        <w:t xml:space="preserve"> del</w:t>
      </w:r>
      <w:r w:rsidR="004B5DEB" w:rsidRPr="00DB7B6E">
        <w:rPr>
          <w:rFonts w:ascii="Arial" w:eastAsia="Arial" w:hAnsi="Arial" w:cs="Arial"/>
          <w:sz w:val="20"/>
          <w:szCs w:val="20"/>
        </w:rPr>
        <w:t xml:space="preserve"> TU IVA</w:t>
      </w:r>
      <w:r>
        <w:rPr>
          <w:rFonts w:ascii="Arial" w:eastAsia="Arial" w:hAnsi="Arial" w:cs="Arial"/>
          <w:sz w:val="20"/>
          <w:szCs w:val="20"/>
        </w:rPr>
        <w:t xml:space="preserve"> </w:t>
      </w:r>
      <w:r w:rsidR="004B5DEB" w:rsidRPr="00DB7B6E">
        <w:rPr>
          <w:rFonts w:ascii="Arial" w:eastAsia="Arial" w:hAnsi="Arial" w:cs="Arial"/>
          <w:sz w:val="20"/>
          <w:szCs w:val="20"/>
        </w:rPr>
        <w:t>(ruolo de</w:t>
      </w:r>
      <w:r w:rsidR="004B5DEB" w:rsidRPr="004A48E4">
        <w:rPr>
          <w:rFonts w:ascii="Arial" w:eastAsia="Arial" w:hAnsi="Arial" w:cs="Arial"/>
          <w:sz w:val="20"/>
          <w:szCs w:val="20"/>
        </w:rPr>
        <w:t>ll’operatore intermedio) con dicitura obbligatoria</w:t>
      </w:r>
      <w:r w:rsidR="004B5DEB" w:rsidRPr="00DB7B6E">
        <w:rPr>
          <w:rFonts w:ascii="Arial" w:eastAsia="Arial" w:hAnsi="Arial" w:cs="Arial"/>
          <w:sz w:val="20"/>
          <w:szCs w:val="20"/>
        </w:rPr>
        <w:t xml:space="preserve"> ex</w:t>
      </w:r>
      <w:r>
        <w:rPr>
          <w:rFonts w:ascii="Arial" w:eastAsia="Arial" w:hAnsi="Arial" w:cs="Arial"/>
          <w:sz w:val="20"/>
          <w:szCs w:val="20"/>
        </w:rPr>
        <w:t xml:space="preserve"> a</w:t>
      </w:r>
      <w:r w:rsidR="004B5DEB" w:rsidRPr="00DB7B6E">
        <w:rPr>
          <w:rFonts w:ascii="Arial" w:eastAsia="Arial" w:hAnsi="Arial" w:cs="Arial"/>
          <w:sz w:val="20"/>
          <w:szCs w:val="20"/>
        </w:rPr>
        <w:t>rt. 97, co</w:t>
      </w:r>
      <w:r>
        <w:rPr>
          <w:rFonts w:ascii="Arial" w:eastAsia="Arial" w:hAnsi="Arial" w:cs="Arial"/>
          <w:sz w:val="20"/>
          <w:szCs w:val="20"/>
        </w:rPr>
        <w:t>mma</w:t>
      </w:r>
      <w:r w:rsidR="004B5DEB" w:rsidRPr="00DB7B6E">
        <w:rPr>
          <w:rFonts w:ascii="Arial" w:eastAsia="Arial" w:hAnsi="Arial" w:cs="Arial"/>
          <w:sz w:val="20"/>
          <w:szCs w:val="20"/>
        </w:rPr>
        <w:t xml:space="preserve"> 2</w:t>
      </w:r>
      <w:r>
        <w:rPr>
          <w:rFonts w:ascii="Arial" w:eastAsia="Arial" w:hAnsi="Arial" w:cs="Arial"/>
          <w:sz w:val="20"/>
          <w:szCs w:val="20"/>
        </w:rPr>
        <w:t>;</w:t>
      </w:r>
    </w:p>
    <w:p w14:paraId="04B529E0" w14:textId="6E7E7450" w:rsidR="004B5DEB" w:rsidRPr="004A48E4" w:rsidRDefault="00DB7B6E" w:rsidP="004A48E4">
      <w:pPr>
        <w:pStyle w:val="Paragrafoelenco"/>
        <w:numPr>
          <w:ilvl w:val="0"/>
          <w:numId w:val="21"/>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e</w:t>
      </w:r>
      <w:r w:rsidR="004B5DEB" w:rsidRPr="004A48E4">
        <w:rPr>
          <w:rFonts w:ascii="Arial" w:eastAsia="Arial" w:hAnsi="Arial" w:cs="Arial"/>
          <w:b/>
          <w:bCs/>
          <w:sz w:val="20"/>
          <w:szCs w:val="20"/>
        </w:rPr>
        <w:t>sportazioni extra-UE (</w:t>
      </w:r>
      <w:r>
        <w:rPr>
          <w:rFonts w:ascii="Arial" w:eastAsia="Arial" w:hAnsi="Arial" w:cs="Arial"/>
          <w:b/>
          <w:bCs/>
          <w:sz w:val="20"/>
          <w:szCs w:val="20"/>
        </w:rPr>
        <w:t>a</w:t>
      </w:r>
      <w:r w:rsidR="004B5DEB" w:rsidRPr="004A48E4">
        <w:rPr>
          <w:rFonts w:ascii="Arial" w:eastAsia="Arial" w:hAnsi="Arial" w:cs="Arial"/>
          <w:b/>
          <w:bCs/>
          <w:sz w:val="20"/>
          <w:szCs w:val="20"/>
        </w:rPr>
        <w:t xml:space="preserve">rt. 45 </w:t>
      </w:r>
      <w:r>
        <w:rPr>
          <w:rFonts w:ascii="Arial" w:eastAsia="Arial" w:hAnsi="Arial" w:cs="Arial"/>
          <w:b/>
          <w:bCs/>
          <w:sz w:val="20"/>
          <w:szCs w:val="20"/>
        </w:rPr>
        <w:t xml:space="preserve">del </w:t>
      </w:r>
      <w:r w:rsidR="004B5DEB" w:rsidRPr="004A48E4">
        <w:rPr>
          <w:rFonts w:ascii="Arial" w:eastAsia="Arial" w:hAnsi="Arial" w:cs="Arial"/>
          <w:b/>
          <w:bCs/>
          <w:sz w:val="20"/>
          <w:szCs w:val="20"/>
        </w:rPr>
        <w:t>TU IVA)</w:t>
      </w:r>
      <w:r w:rsidR="004B5DEB" w:rsidRPr="004A48E4">
        <w:rPr>
          <w:rFonts w:ascii="Arial" w:eastAsia="Arial" w:hAnsi="Arial" w:cs="Arial"/>
          <w:sz w:val="20"/>
          <w:szCs w:val="20"/>
        </w:rPr>
        <w:t>: tracciamento interamente digitale del codice</w:t>
      </w:r>
      <w:r>
        <w:rPr>
          <w:rFonts w:ascii="Arial" w:eastAsia="Arial" w:hAnsi="Arial" w:cs="Arial"/>
          <w:sz w:val="20"/>
          <w:szCs w:val="20"/>
        </w:rPr>
        <w:t xml:space="preserve"> </w:t>
      </w:r>
      <w:r w:rsidR="004B5DEB" w:rsidRPr="004A48E4">
        <w:rPr>
          <w:rFonts w:ascii="Arial" w:eastAsia="Arial" w:hAnsi="Arial" w:cs="Arial"/>
          <w:b/>
          <w:bCs/>
          <w:sz w:val="20"/>
          <w:szCs w:val="20"/>
        </w:rPr>
        <w:t>MRN</w:t>
      </w:r>
      <w:r>
        <w:rPr>
          <w:rFonts w:ascii="Arial" w:eastAsia="Arial" w:hAnsi="Arial" w:cs="Arial"/>
          <w:sz w:val="20"/>
          <w:szCs w:val="20"/>
        </w:rPr>
        <w:t xml:space="preserve"> </w:t>
      </w:r>
      <w:r w:rsidR="004B5DEB" w:rsidRPr="004A48E4">
        <w:rPr>
          <w:rFonts w:ascii="Arial" w:eastAsia="Arial" w:hAnsi="Arial" w:cs="Arial"/>
          <w:sz w:val="20"/>
          <w:szCs w:val="20"/>
        </w:rPr>
        <w:t>tramite il sistema doganale</w:t>
      </w:r>
      <w:r>
        <w:rPr>
          <w:rFonts w:ascii="Arial" w:eastAsia="Arial" w:hAnsi="Arial" w:cs="Arial"/>
          <w:sz w:val="20"/>
          <w:szCs w:val="20"/>
        </w:rPr>
        <w:t xml:space="preserve"> </w:t>
      </w:r>
      <w:r w:rsidR="004B5DEB" w:rsidRPr="004A48E4">
        <w:rPr>
          <w:rFonts w:ascii="Arial" w:eastAsia="Arial" w:hAnsi="Arial" w:cs="Arial"/>
          <w:b/>
          <w:bCs/>
          <w:sz w:val="20"/>
          <w:szCs w:val="20"/>
        </w:rPr>
        <w:t>AES</w:t>
      </w:r>
      <w:r w:rsidR="004B5DEB" w:rsidRPr="004A48E4">
        <w:rPr>
          <w:rFonts w:ascii="Arial" w:eastAsia="Arial" w:hAnsi="Arial" w:cs="Arial"/>
          <w:sz w:val="20"/>
          <w:szCs w:val="20"/>
        </w:rPr>
        <w:t>, con monitoraggio dei</w:t>
      </w:r>
      <w:r>
        <w:rPr>
          <w:rFonts w:ascii="Arial" w:eastAsia="Arial" w:hAnsi="Arial" w:cs="Arial"/>
          <w:sz w:val="20"/>
          <w:szCs w:val="20"/>
        </w:rPr>
        <w:t xml:space="preserve"> </w:t>
      </w:r>
      <w:r w:rsidR="004B5DEB" w:rsidRPr="004A48E4">
        <w:rPr>
          <w:rFonts w:ascii="Arial" w:eastAsia="Arial" w:hAnsi="Arial" w:cs="Arial"/>
          <w:b/>
          <w:bCs/>
          <w:sz w:val="20"/>
          <w:szCs w:val="20"/>
        </w:rPr>
        <w:t>90 giorni</w:t>
      </w:r>
      <w:r>
        <w:rPr>
          <w:rFonts w:ascii="Arial" w:eastAsia="Arial" w:hAnsi="Arial" w:cs="Arial"/>
          <w:sz w:val="20"/>
          <w:szCs w:val="20"/>
        </w:rPr>
        <w:t xml:space="preserve"> </w:t>
      </w:r>
      <w:r w:rsidR="004B5DEB" w:rsidRPr="004A48E4">
        <w:rPr>
          <w:rFonts w:ascii="Arial" w:eastAsia="Arial" w:hAnsi="Arial" w:cs="Arial"/>
          <w:sz w:val="20"/>
          <w:szCs w:val="20"/>
        </w:rPr>
        <w:t>per l’uscita fisica dei beni dal territorio unionale.</w:t>
      </w:r>
    </w:p>
    <w:p w14:paraId="35141758" w14:textId="044107DE"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5ED061CF" w14:textId="0FA722F5" w:rsidR="004B5DEB" w:rsidRPr="00DB7B6E"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78531F">
        <w:rPr>
          <w:rFonts w:ascii="Arial" w:eastAsia="Arial" w:hAnsi="Arial" w:cs="Arial"/>
          <w:b/>
          <w:bCs/>
          <w:sz w:val="20"/>
          <w:szCs w:val="20"/>
        </w:rPr>
        <w:t>Gestione del cambiamento: la clausola di salvaguardia</w:t>
      </w:r>
    </w:p>
    <w:p w14:paraId="7B45300A" w14:textId="61865D8A" w:rsidR="004B5DEB" w:rsidRPr="0078531F"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 xml:space="preserve">Molte aziende hanno espresso timori circa la validità dei contratti in essere o il rischio di scarti massivi da parte dell’Agenzia </w:t>
      </w:r>
      <w:r w:rsidR="0078531F">
        <w:rPr>
          <w:rFonts w:ascii="Arial" w:eastAsia="Arial" w:hAnsi="Arial" w:cs="Arial"/>
          <w:sz w:val="20"/>
          <w:szCs w:val="20"/>
        </w:rPr>
        <w:t xml:space="preserve">delle </w:t>
      </w:r>
      <w:r w:rsidRPr="004A48E4">
        <w:rPr>
          <w:rFonts w:ascii="Arial" w:eastAsia="Arial" w:hAnsi="Arial" w:cs="Arial"/>
          <w:sz w:val="20"/>
          <w:szCs w:val="20"/>
        </w:rPr>
        <w:t>Entrate. A tutela della continuità operativa intervie</w:t>
      </w:r>
      <w:r w:rsidRPr="0078531F">
        <w:rPr>
          <w:rFonts w:ascii="Arial" w:eastAsia="Arial" w:hAnsi="Arial" w:cs="Arial"/>
          <w:sz w:val="20"/>
          <w:szCs w:val="20"/>
        </w:rPr>
        <w:t>ne l’</w:t>
      </w:r>
      <w:r w:rsidR="0078531F">
        <w:rPr>
          <w:rFonts w:ascii="Arial" w:eastAsia="Arial" w:hAnsi="Arial" w:cs="Arial"/>
          <w:sz w:val="20"/>
          <w:szCs w:val="20"/>
        </w:rPr>
        <w:t>a</w:t>
      </w:r>
      <w:r w:rsidRPr="0078531F">
        <w:rPr>
          <w:rFonts w:ascii="Arial" w:eastAsia="Arial" w:hAnsi="Arial" w:cs="Arial"/>
          <w:sz w:val="20"/>
          <w:szCs w:val="20"/>
        </w:rPr>
        <w:t>rt</w:t>
      </w:r>
      <w:r w:rsidR="0078531F">
        <w:rPr>
          <w:rFonts w:ascii="Arial" w:eastAsia="Arial" w:hAnsi="Arial" w:cs="Arial"/>
          <w:sz w:val="20"/>
          <w:szCs w:val="20"/>
        </w:rPr>
        <w:t>.</w:t>
      </w:r>
      <w:r w:rsidRPr="0078531F">
        <w:rPr>
          <w:rFonts w:ascii="Arial" w:eastAsia="Arial" w:hAnsi="Arial" w:cs="Arial"/>
          <w:sz w:val="20"/>
          <w:szCs w:val="20"/>
        </w:rPr>
        <w:t xml:space="preserve"> 170, comma 3</w:t>
      </w:r>
      <w:r w:rsidR="0078531F">
        <w:rPr>
          <w:rFonts w:ascii="Arial" w:eastAsia="Arial" w:hAnsi="Arial" w:cs="Arial"/>
          <w:sz w:val="20"/>
          <w:szCs w:val="20"/>
        </w:rPr>
        <w:t>,</w:t>
      </w:r>
      <w:r w:rsidRPr="0078531F">
        <w:rPr>
          <w:rFonts w:ascii="Arial" w:eastAsia="Arial" w:hAnsi="Arial" w:cs="Arial"/>
          <w:sz w:val="20"/>
          <w:szCs w:val="20"/>
        </w:rPr>
        <w:t xml:space="preserve"> del Testo Unico:</w:t>
      </w:r>
    </w:p>
    <w:p w14:paraId="2850FAC7" w14:textId="04641E5E" w:rsidR="004B5DEB" w:rsidRPr="004A48E4" w:rsidRDefault="0078531F" w:rsidP="004A48E4">
      <w:pPr>
        <w:pStyle w:val="Paragrafoelenco"/>
        <w:numPr>
          <w:ilvl w:val="0"/>
          <w:numId w:val="22"/>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c</w:t>
      </w:r>
      <w:r w:rsidR="004B5DEB" w:rsidRPr="004A48E4">
        <w:rPr>
          <w:rFonts w:ascii="Arial" w:eastAsia="Arial" w:hAnsi="Arial" w:cs="Arial"/>
          <w:b/>
          <w:bCs/>
          <w:sz w:val="20"/>
          <w:szCs w:val="20"/>
        </w:rPr>
        <w:t>ontinuità giuridica</w:t>
      </w:r>
      <w:r w:rsidR="004B5DEB" w:rsidRPr="004A48E4">
        <w:rPr>
          <w:rFonts w:ascii="Arial" w:eastAsia="Arial" w:hAnsi="Arial" w:cs="Arial"/>
          <w:sz w:val="20"/>
          <w:szCs w:val="20"/>
        </w:rPr>
        <w:t>: qualunque rinvio al D.P.R.</w:t>
      </w:r>
      <w:r>
        <w:rPr>
          <w:rFonts w:ascii="Arial" w:eastAsia="Arial" w:hAnsi="Arial" w:cs="Arial"/>
          <w:sz w:val="20"/>
          <w:szCs w:val="20"/>
        </w:rPr>
        <w:t xml:space="preserve"> n.</w:t>
      </w:r>
      <w:r w:rsidR="004B5DEB" w:rsidRPr="004A48E4">
        <w:rPr>
          <w:rFonts w:ascii="Arial" w:eastAsia="Arial" w:hAnsi="Arial" w:cs="Arial"/>
          <w:sz w:val="20"/>
          <w:szCs w:val="20"/>
        </w:rPr>
        <w:t xml:space="preserve"> 633/1972 contenuto in contratti pluriennali, appalti, patti commerciali o atti notarili stipulati prima del 1° gennaio 2027 si intende automaticamente riferito al corrispondente articolo del nuovo Testo Unico</w:t>
      </w:r>
      <w:r>
        <w:rPr>
          <w:rFonts w:ascii="Arial" w:eastAsia="Arial" w:hAnsi="Arial" w:cs="Arial"/>
          <w:sz w:val="20"/>
          <w:szCs w:val="20"/>
        </w:rPr>
        <w:t>;</w:t>
      </w:r>
    </w:p>
    <w:p w14:paraId="45B1639B" w14:textId="30F20119" w:rsidR="004B5DEB" w:rsidRPr="004A48E4" w:rsidRDefault="0078531F" w:rsidP="004A48E4">
      <w:pPr>
        <w:pStyle w:val="Paragrafoelenco"/>
        <w:numPr>
          <w:ilvl w:val="0"/>
          <w:numId w:val="22"/>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n</w:t>
      </w:r>
      <w:r w:rsidR="004B5DEB" w:rsidRPr="004A48E4">
        <w:rPr>
          <w:rFonts w:ascii="Arial" w:eastAsia="Arial" w:hAnsi="Arial" w:cs="Arial"/>
          <w:b/>
          <w:bCs/>
          <w:sz w:val="20"/>
          <w:szCs w:val="20"/>
        </w:rPr>
        <w:t>essun blocco dello SDI</w:t>
      </w:r>
      <w:r w:rsidR="004B5DEB" w:rsidRPr="004A48E4">
        <w:rPr>
          <w:rFonts w:ascii="Arial" w:eastAsia="Arial" w:hAnsi="Arial" w:cs="Arial"/>
          <w:sz w:val="20"/>
          <w:szCs w:val="20"/>
        </w:rPr>
        <w:t>: nei primi mesi del 2027, le fatture elettroniche che dovessero ancora riportare per errore le vecchie diciture del D</w:t>
      </w:r>
      <w:r>
        <w:rPr>
          <w:rFonts w:ascii="Arial" w:eastAsia="Arial" w:hAnsi="Arial" w:cs="Arial"/>
          <w:sz w:val="20"/>
          <w:szCs w:val="20"/>
        </w:rPr>
        <w:t>.</w:t>
      </w:r>
      <w:r w:rsidR="004B5DEB" w:rsidRPr="004A48E4">
        <w:rPr>
          <w:rFonts w:ascii="Arial" w:eastAsia="Arial" w:hAnsi="Arial" w:cs="Arial"/>
          <w:sz w:val="20"/>
          <w:szCs w:val="20"/>
        </w:rPr>
        <w:t>P</w:t>
      </w:r>
      <w:r>
        <w:rPr>
          <w:rFonts w:ascii="Arial" w:eastAsia="Arial" w:hAnsi="Arial" w:cs="Arial"/>
          <w:sz w:val="20"/>
          <w:szCs w:val="20"/>
        </w:rPr>
        <w:t>.</w:t>
      </w:r>
      <w:r w:rsidR="004B5DEB" w:rsidRPr="004A48E4">
        <w:rPr>
          <w:rFonts w:ascii="Arial" w:eastAsia="Arial" w:hAnsi="Arial" w:cs="Arial"/>
          <w:sz w:val="20"/>
          <w:szCs w:val="20"/>
        </w:rPr>
        <w:t>R</w:t>
      </w:r>
      <w:r>
        <w:rPr>
          <w:rFonts w:ascii="Arial" w:eastAsia="Arial" w:hAnsi="Arial" w:cs="Arial"/>
          <w:sz w:val="20"/>
          <w:szCs w:val="20"/>
        </w:rPr>
        <w:t>.</w:t>
      </w:r>
      <w:r w:rsidR="004B5DEB" w:rsidRPr="004A48E4">
        <w:rPr>
          <w:rFonts w:ascii="Arial" w:eastAsia="Arial" w:hAnsi="Arial" w:cs="Arial"/>
          <w:sz w:val="20"/>
          <w:szCs w:val="20"/>
        </w:rPr>
        <w:t xml:space="preserve"> </w:t>
      </w:r>
      <w:r>
        <w:rPr>
          <w:rFonts w:ascii="Arial" w:eastAsia="Arial" w:hAnsi="Arial" w:cs="Arial"/>
          <w:sz w:val="20"/>
          <w:szCs w:val="20"/>
        </w:rPr>
        <w:t xml:space="preserve">n. </w:t>
      </w:r>
      <w:r w:rsidR="004B5DEB" w:rsidRPr="004A48E4">
        <w:rPr>
          <w:rFonts w:ascii="Arial" w:eastAsia="Arial" w:hAnsi="Arial" w:cs="Arial"/>
          <w:sz w:val="20"/>
          <w:szCs w:val="20"/>
        </w:rPr>
        <w:t>63</w:t>
      </w:r>
      <w:r w:rsidR="004B5DEB" w:rsidRPr="0078531F">
        <w:rPr>
          <w:rFonts w:ascii="Arial" w:eastAsia="Arial" w:hAnsi="Arial" w:cs="Arial"/>
          <w:sz w:val="20"/>
          <w:szCs w:val="20"/>
        </w:rPr>
        <w:t>3/</w:t>
      </w:r>
      <w:r w:rsidRPr="0078531F">
        <w:rPr>
          <w:rFonts w:ascii="Arial" w:eastAsia="Arial" w:hAnsi="Arial" w:cs="Arial"/>
          <w:sz w:val="20"/>
          <w:szCs w:val="20"/>
        </w:rPr>
        <w:t>19</w:t>
      </w:r>
      <w:r w:rsidR="004B5DEB" w:rsidRPr="0078531F">
        <w:rPr>
          <w:rFonts w:ascii="Arial" w:eastAsia="Arial" w:hAnsi="Arial" w:cs="Arial"/>
          <w:sz w:val="20"/>
          <w:szCs w:val="20"/>
        </w:rPr>
        <w:t>72</w:t>
      </w:r>
      <w:r w:rsidRPr="0078531F">
        <w:rPr>
          <w:rFonts w:ascii="Arial" w:eastAsia="Arial" w:hAnsi="Arial" w:cs="Arial"/>
          <w:sz w:val="20"/>
          <w:szCs w:val="20"/>
        </w:rPr>
        <w:t xml:space="preserve"> </w:t>
      </w:r>
      <w:r w:rsidR="004B5DEB" w:rsidRPr="0078531F">
        <w:rPr>
          <w:rFonts w:ascii="Arial" w:eastAsia="Arial" w:hAnsi="Arial" w:cs="Arial"/>
          <w:sz w:val="20"/>
          <w:szCs w:val="20"/>
        </w:rPr>
        <w:t>non saranno scartate dal Sistema di Interscambio</w:t>
      </w:r>
      <w:r w:rsidRPr="0078531F">
        <w:rPr>
          <w:rFonts w:ascii="Arial" w:eastAsia="Arial" w:hAnsi="Arial" w:cs="Arial"/>
          <w:sz w:val="20"/>
          <w:szCs w:val="20"/>
        </w:rPr>
        <w:t xml:space="preserve"> </w:t>
      </w:r>
      <w:r w:rsidR="004B5DEB" w:rsidRPr="0078531F">
        <w:rPr>
          <w:rFonts w:ascii="Arial" w:eastAsia="Arial" w:hAnsi="Arial" w:cs="Arial"/>
          <w:sz w:val="20"/>
          <w:szCs w:val="20"/>
        </w:rPr>
        <w:t>e non sarann</w:t>
      </w:r>
      <w:r w:rsidR="004B5DEB" w:rsidRPr="004A48E4">
        <w:rPr>
          <w:rFonts w:ascii="Arial" w:eastAsia="Arial" w:hAnsi="Arial" w:cs="Arial"/>
          <w:sz w:val="20"/>
          <w:szCs w:val="20"/>
        </w:rPr>
        <w:t>o soggette a sanzioni formali.</w:t>
      </w:r>
    </w:p>
    <w:p w14:paraId="41471DCE"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Tuttavia, l’aggiornamento preventivo rimane indispensabile per evitare disallineamenti di contabilità interna ed errori.</w:t>
      </w:r>
    </w:p>
    <w:p w14:paraId="604F4246"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La tolleranza prevista dal Sistema di Interscambio si rifletterà naturalmente anche sulle fatture ricevute e potrebbe in tal senso rappresentare una difficoltà nel dover gestire le stesse operazioni passive con due indicazioni diverse.</w:t>
      </w:r>
    </w:p>
    <w:p w14:paraId="5BAE5A7C" w14:textId="4F20E7F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4AD225D5" w14:textId="5269949D" w:rsidR="004B5DEB" w:rsidRPr="0078531F"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78531F">
        <w:rPr>
          <w:rFonts w:ascii="Arial" w:eastAsia="Arial" w:hAnsi="Arial" w:cs="Arial"/>
          <w:b/>
          <w:bCs/>
          <w:sz w:val="20"/>
          <w:szCs w:val="20"/>
        </w:rPr>
        <w:t xml:space="preserve">La </w:t>
      </w:r>
      <w:r w:rsidR="0078531F">
        <w:rPr>
          <w:rFonts w:ascii="Arial" w:eastAsia="Arial" w:hAnsi="Arial" w:cs="Arial"/>
          <w:b/>
          <w:bCs/>
          <w:sz w:val="20"/>
          <w:szCs w:val="20"/>
        </w:rPr>
        <w:t>r</w:t>
      </w:r>
      <w:r w:rsidRPr="0078531F">
        <w:rPr>
          <w:rFonts w:ascii="Arial" w:eastAsia="Arial" w:hAnsi="Arial" w:cs="Arial"/>
          <w:b/>
          <w:bCs/>
          <w:sz w:val="20"/>
          <w:szCs w:val="20"/>
        </w:rPr>
        <w:t>oadmap operativa: cosa fare entro il 31 dicembre 2026</w:t>
      </w:r>
    </w:p>
    <w:p w14:paraId="7B022D99" w14:textId="53145CAC" w:rsidR="004B5DEB" w:rsidRPr="004A48E4" w:rsidRDefault="0078531F" w:rsidP="004A48E4">
      <w:pPr>
        <w:pBdr>
          <w:top w:val="nil"/>
          <w:left w:val="nil"/>
          <w:bottom w:val="nil"/>
          <w:right w:val="nil"/>
          <w:between w:val="nil"/>
        </w:pBdr>
        <w:spacing w:line="300" w:lineRule="atLeast"/>
        <w:ind w:left="0" w:hanging="2"/>
        <w:jc w:val="both"/>
        <w:rPr>
          <w:rFonts w:ascii="Arial" w:eastAsia="Arial" w:hAnsi="Arial" w:cs="Arial"/>
          <w:sz w:val="20"/>
          <w:szCs w:val="20"/>
        </w:rPr>
      </w:pPr>
      <w:r>
        <w:rPr>
          <w:rFonts w:ascii="Arial" w:eastAsia="Arial" w:hAnsi="Arial" w:cs="Arial"/>
          <w:sz w:val="20"/>
          <w:szCs w:val="20"/>
        </w:rPr>
        <w:t>Si</w:t>
      </w:r>
      <w:r w:rsidR="004B5DEB" w:rsidRPr="004A48E4">
        <w:rPr>
          <w:rFonts w:ascii="Arial" w:eastAsia="Arial" w:hAnsi="Arial" w:cs="Arial"/>
          <w:sz w:val="20"/>
          <w:szCs w:val="20"/>
        </w:rPr>
        <w:t xml:space="preserve"> consiglia di scandire i preparativi secondo </w:t>
      </w:r>
      <w:r>
        <w:rPr>
          <w:rFonts w:ascii="Arial" w:eastAsia="Arial" w:hAnsi="Arial" w:cs="Arial"/>
          <w:sz w:val="20"/>
          <w:szCs w:val="20"/>
        </w:rPr>
        <w:t>il seguente</w:t>
      </w:r>
      <w:r w:rsidR="004B5DEB" w:rsidRPr="004A48E4">
        <w:rPr>
          <w:rFonts w:ascii="Arial" w:eastAsia="Arial" w:hAnsi="Arial" w:cs="Arial"/>
          <w:sz w:val="20"/>
          <w:szCs w:val="20"/>
        </w:rPr>
        <w:t xml:space="preserve"> calendario:</w:t>
      </w:r>
    </w:p>
    <w:p w14:paraId="1D9C42E4" w14:textId="77777777" w:rsidR="004B5DEB" w:rsidRPr="004A48E4" w:rsidRDefault="004B5DEB" w:rsidP="004A48E4">
      <w:pPr>
        <w:pStyle w:val="Paragrafoelenco"/>
        <w:numPr>
          <w:ilvl w:val="0"/>
          <w:numId w:val="23"/>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t>Ottobre 2026 | Sistemi ERP e Dogane</w:t>
      </w:r>
      <w:r w:rsidRPr="004A48E4">
        <w:rPr>
          <w:rFonts w:ascii="Arial" w:eastAsia="Arial" w:hAnsi="Arial" w:cs="Arial"/>
          <w:sz w:val="20"/>
          <w:szCs w:val="20"/>
        </w:rPr>
        <w:t>: verificare con la propria software house il rilascio degli aggiornamenti con le nuove tabelle di codifica IVA e testare il flusso AES per le esportazioni, se disponibile.</w:t>
      </w:r>
    </w:p>
    <w:p w14:paraId="0EBEE57F" w14:textId="77777777" w:rsidR="004B5DEB" w:rsidRPr="004A48E4" w:rsidRDefault="004B5DEB" w:rsidP="004A48E4">
      <w:pPr>
        <w:pStyle w:val="Paragrafoelenco"/>
        <w:numPr>
          <w:ilvl w:val="0"/>
          <w:numId w:val="23"/>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lastRenderedPageBreak/>
        <w:t>Novembre 2026 | Contrattualistica e modulistica</w:t>
      </w:r>
      <w:r w:rsidRPr="004A48E4">
        <w:rPr>
          <w:rFonts w:ascii="Arial" w:eastAsia="Arial" w:hAnsi="Arial" w:cs="Arial"/>
          <w:sz w:val="20"/>
          <w:szCs w:val="20"/>
        </w:rPr>
        <w:t>: allineare i contratti standard, le lettere d’intento, le dichiarazioni d’uso (edilizia/agricoltura) e i modelli grafici o campi informativi delle fatture elettroniche.</w:t>
      </w:r>
    </w:p>
    <w:p w14:paraId="4C76E33F" w14:textId="77777777" w:rsidR="004B5DEB" w:rsidRPr="004A48E4" w:rsidRDefault="004B5DEB" w:rsidP="004A48E4">
      <w:pPr>
        <w:pStyle w:val="Paragrafoelenco"/>
        <w:numPr>
          <w:ilvl w:val="0"/>
          <w:numId w:val="23"/>
        </w:numPr>
        <w:pBdr>
          <w:top w:val="nil"/>
          <w:left w:val="nil"/>
          <w:bottom w:val="nil"/>
          <w:right w:val="nil"/>
          <w:between w:val="nil"/>
        </w:pBdr>
        <w:spacing w:after="0" w:line="300" w:lineRule="atLeast"/>
        <w:ind w:leftChars="0" w:firstLineChars="0"/>
        <w:jc w:val="both"/>
        <w:rPr>
          <w:rFonts w:ascii="Arial" w:eastAsia="Arial" w:hAnsi="Arial" w:cs="Arial"/>
          <w:sz w:val="20"/>
          <w:szCs w:val="20"/>
        </w:rPr>
      </w:pPr>
      <w:r w:rsidRPr="004A48E4">
        <w:rPr>
          <w:rFonts w:ascii="Arial" w:eastAsia="Arial" w:hAnsi="Arial" w:cs="Arial"/>
          <w:b/>
          <w:bCs/>
          <w:sz w:val="20"/>
          <w:szCs w:val="20"/>
        </w:rPr>
        <w:t>Dicembre 2026 | Formazione e test di chiusura</w:t>
      </w:r>
      <w:r w:rsidRPr="004A48E4">
        <w:rPr>
          <w:rFonts w:ascii="Arial" w:eastAsia="Arial" w:hAnsi="Arial" w:cs="Arial"/>
          <w:sz w:val="20"/>
          <w:szCs w:val="20"/>
        </w:rPr>
        <w:t>: eseguire sessioni di formazione con il personale amministrativo e simulare la gestione delle operazioni a cavallo d’anno per garantire una transizione serena al 1° gennaio 2027.</w:t>
      </w:r>
    </w:p>
    <w:p w14:paraId="07F8C4E0" w14:textId="4F3416AA"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6DA588CF" w14:textId="3D824B21" w:rsidR="004B5DEB" w:rsidRPr="0078531F" w:rsidRDefault="004B5DEB" w:rsidP="004A48E4">
      <w:pPr>
        <w:pBdr>
          <w:top w:val="nil"/>
          <w:left w:val="nil"/>
          <w:bottom w:val="nil"/>
          <w:right w:val="nil"/>
          <w:between w:val="nil"/>
        </w:pBdr>
        <w:spacing w:line="300" w:lineRule="atLeast"/>
        <w:ind w:left="0" w:hanging="2"/>
        <w:jc w:val="both"/>
        <w:rPr>
          <w:rFonts w:ascii="Arial" w:eastAsia="Arial" w:hAnsi="Arial" w:cs="Arial"/>
          <w:b/>
          <w:bCs/>
          <w:sz w:val="20"/>
          <w:szCs w:val="20"/>
        </w:rPr>
      </w:pPr>
      <w:r w:rsidRPr="0078531F">
        <w:rPr>
          <w:rFonts w:ascii="Arial" w:eastAsia="Arial" w:hAnsi="Arial" w:cs="Arial"/>
          <w:b/>
          <w:bCs/>
          <w:sz w:val="20"/>
          <w:szCs w:val="20"/>
        </w:rPr>
        <w:t>Domande e Risposte (FAQ)</w:t>
      </w:r>
    </w:p>
    <w:p w14:paraId="027E5953" w14:textId="1861D6AC" w:rsidR="004B5DEB" w:rsidRPr="004A48E4" w:rsidRDefault="0078531F" w:rsidP="004A48E4">
      <w:pPr>
        <w:pBdr>
          <w:top w:val="nil"/>
          <w:left w:val="nil"/>
          <w:bottom w:val="nil"/>
          <w:right w:val="nil"/>
          <w:between w:val="nil"/>
        </w:pBdr>
        <w:spacing w:line="300" w:lineRule="atLeast"/>
        <w:ind w:left="0" w:hanging="2"/>
        <w:jc w:val="both"/>
        <w:rPr>
          <w:rFonts w:ascii="Arial" w:eastAsia="Arial" w:hAnsi="Arial" w:cs="Arial"/>
          <w:sz w:val="20"/>
          <w:szCs w:val="20"/>
        </w:rPr>
      </w:pPr>
      <w:r>
        <w:rPr>
          <w:rFonts w:ascii="Arial" w:eastAsia="Arial" w:hAnsi="Arial" w:cs="Arial"/>
          <w:sz w:val="20"/>
          <w:szCs w:val="20"/>
        </w:rPr>
        <w:t>Si c</w:t>
      </w:r>
      <w:r w:rsidR="004B5DEB" w:rsidRPr="004A48E4">
        <w:rPr>
          <w:rFonts w:ascii="Arial" w:eastAsia="Arial" w:hAnsi="Arial" w:cs="Arial"/>
          <w:sz w:val="20"/>
          <w:szCs w:val="20"/>
        </w:rPr>
        <w:t>onclu</w:t>
      </w:r>
      <w:r>
        <w:rPr>
          <w:rFonts w:ascii="Arial" w:eastAsia="Arial" w:hAnsi="Arial" w:cs="Arial"/>
          <w:sz w:val="20"/>
          <w:szCs w:val="20"/>
        </w:rPr>
        <w:t>de</w:t>
      </w:r>
      <w:r w:rsidR="004B5DEB" w:rsidRPr="004A48E4">
        <w:rPr>
          <w:rFonts w:ascii="Arial" w:eastAsia="Arial" w:hAnsi="Arial" w:cs="Arial"/>
          <w:sz w:val="20"/>
          <w:szCs w:val="20"/>
        </w:rPr>
        <w:t xml:space="preserve"> questa sintesi con alcune FAQ riepilogative.</w:t>
      </w:r>
    </w:p>
    <w:p w14:paraId="44357CD3" w14:textId="7C75406C"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530282EB"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1. Il nuovo Testo Unico introduce nuove aliquote o requisiti di tassazione?</w:t>
      </w:r>
    </w:p>
    <w:p w14:paraId="2265612B" w14:textId="229D4474"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78531F">
        <w:rPr>
          <w:rFonts w:ascii="Arial" w:eastAsia="Arial" w:hAnsi="Arial" w:cs="Arial"/>
          <w:sz w:val="20"/>
          <w:szCs w:val="20"/>
        </w:rPr>
        <w:t>No.</w:t>
      </w:r>
      <w:r w:rsidR="0078531F" w:rsidRPr="0078531F">
        <w:rPr>
          <w:rFonts w:ascii="Arial" w:eastAsia="Arial" w:hAnsi="Arial" w:cs="Arial"/>
          <w:sz w:val="20"/>
          <w:szCs w:val="20"/>
        </w:rPr>
        <w:t xml:space="preserve"> </w:t>
      </w:r>
      <w:r w:rsidRPr="0078531F">
        <w:rPr>
          <w:rFonts w:ascii="Arial" w:eastAsia="Arial" w:hAnsi="Arial" w:cs="Arial"/>
          <w:sz w:val="20"/>
          <w:szCs w:val="20"/>
        </w:rPr>
        <w:t xml:space="preserve">Il </w:t>
      </w:r>
      <w:proofErr w:type="spellStart"/>
      <w:r w:rsidRPr="004A48E4">
        <w:rPr>
          <w:rFonts w:ascii="Arial" w:eastAsia="Arial" w:hAnsi="Arial" w:cs="Arial"/>
          <w:sz w:val="20"/>
          <w:szCs w:val="20"/>
        </w:rPr>
        <w:t>D.Lgs.</w:t>
      </w:r>
      <w:proofErr w:type="spellEnd"/>
      <w:r w:rsidRPr="004A48E4">
        <w:rPr>
          <w:rFonts w:ascii="Arial" w:eastAsia="Arial" w:hAnsi="Arial" w:cs="Arial"/>
          <w:sz w:val="20"/>
          <w:szCs w:val="20"/>
        </w:rPr>
        <w:t xml:space="preserve"> n. 10/2026 ha una natura compilativa e di riordino. Le aliquote restano invariate (4%, 5%, 10% e 22% ordinaria, ora confluite nell’</w:t>
      </w:r>
      <w:r w:rsidR="0078531F">
        <w:rPr>
          <w:rFonts w:ascii="Arial" w:eastAsia="Arial" w:hAnsi="Arial" w:cs="Arial"/>
          <w:sz w:val="20"/>
          <w:szCs w:val="20"/>
        </w:rPr>
        <w:t>a</w:t>
      </w:r>
      <w:r w:rsidRPr="004A48E4">
        <w:rPr>
          <w:rFonts w:ascii="Arial" w:eastAsia="Arial" w:hAnsi="Arial" w:cs="Arial"/>
          <w:sz w:val="20"/>
          <w:szCs w:val="20"/>
        </w:rPr>
        <w:t>rt. 34, così come rimangono immutati i presupposti di imponibilità, esenzione e detrazione. Cambiano invece i riferimenti normativi e la loro collocazione sistematica.</w:t>
      </w:r>
    </w:p>
    <w:p w14:paraId="264D6266" w14:textId="0657E7F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01C4AA3E" w14:textId="41565C9E"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2. Dobbiamo rifare tutti i contratti pluriennali e di locazione in essere che citano il D</w:t>
      </w:r>
      <w:r w:rsidR="0078531F">
        <w:rPr>
          <w:rFonts w:ascii="Arial" w:eastAsia="Arial" w:hAnsi="Arial" w:cs="Arial"/>
          <w:b/>
          <w:bCs/>
          <w:sz w:val="20"/>
          <w:szCs w:val="20"/>
        </w:rPr>
        <w:t>.</w:t>
      </w:r>
      <w:r w:rsidRPr="004A48E4">
        <w:rPr>
          <w:rFonts w:ascii="Arial" w:eastAsia="Arial" w:hAnsi="Arial" w:cs="Arial"/>
          <w:b/>
          <w:bCs/>
          <w:sz w:val="20"/>
          <w:szCs w:val="20"/>
        </w:rPr>
        <w:t>P</w:t>
      </w:r>
      <w:r w:rsidR="0078531F">
        <w:rPr>
          <w:rFonts w:ascii="Arial" w:eastAsia="Arial" w:hAnsi="Arial" w:cs="Arial"/>
          <w:b/>
          <w:bCs/>
          <w:sz w:val="20"/>
          <w:szCs w:val="20"/>
        </w:rPr>
        <w:t>.</w:t>
      </w:r>
      <w:r w:rsidRPr="004A48E4">
        <w:rPr>
          <w:rFonts w:ascii="Arial" w:eastAsia="Arial" w:hAnsi="Arial" w:cs="Arial"/>
          <w:b/>
          <w:bCs/>
          <w:sz w:val="20"/>
          <w:szCs w:val="20"/>
        </w:rPr>
        <w:t>R</w:t>
      </w:r>
      <w:r w:rsidR="0078531F">
        <w:rPr>
          <w:rFonts w:ascii="Arial" w:eastAsia="Arial" w:hAnsi="Arial" w:cs="Arial"/>
          <w:b/>
          <w:bCs/>
          <w:sz w:val="20"/>
          <w:szCs w:val="20"/>
        </w:rPr>
        <w:t>.</w:t>
      </w:r>
      <w:r w:rsidRPr="004A48E4">
        <w:rPr>
          <w:rFonts w:ascii="Arial" w:eastAsia="Arial" w:hAnsi="Arial" w:cs="Arial"/>
          <w:b/>
          <w:bCs/>
          <w:sz w:val="20"/>
          <w:szCs w:val="20"/>
        </w:rPr>
        <w:t xml:space="preserve"> </w:t>
      </w:r>
      <w:r w:rsidR="0078531F">
        <w:rPr>
          <w:rFonts w:ascii="Arial" w:eastAsia="Arial" w:hAnsi="Arial" w:cs="Arial"/>
          <w:b/>
          <w:bCs/>
          <w:sz w:val="20"/>
          <w:szCs w:val="20"/>
        </w:rPr>
        <w:t xml:space="preserve">n. </w:t>
      </w:r>
      <w:r w:rsidRPr="004A48E4">
        <w:rPr>
          <w:rFonts w:ascii="Arial" w:eastAsia="Arial" w:hAnsi="Arial" w:cs="Arial"/>
          <w:b/>
          <w:bCs/>
          <w:sz w:val="20"/>
          <w:szCs w:val="20"/>
        </w:rPr>
        <w:t>633/</w:t>
      </w:r>
      <w:r w:rsidR="0078531F">
        <w:rPr>
          <w:rFonts w:ascii="Arial" w:eastAsia="Arial" w:hAnsi="Arial" w:cs="Arial"/>
          <w:b/>
          <w:bCs/>
          <w:sz w:val="20"/>
          <w:szCs w:val="20"/>
        </w:rPr>
        <w:t>19</w:t>
      </w:r>
      <w:r w:rsidRPr="004A48E4">
        <w:rPr>
          <w:rFonts w:ascii="Arial" w:eastAsia="Arial" w:hAnsi="Arial" w:cs="Arial"/>
          <w:b/>
          <w:bCs/>
          <w:sz w:val="20"/>
          <w:szCs w:val="20"/>
        </w:rPr>
        <w:t>72?</w:t>
      </w:r>
    </w:p>
    <w:p w14:paraId="70C3AF10" w14:textId="64755554"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78531F">
        <w:rPr>
          <w:rFonts w:ascii="Arial" w:eastAsia="Arial" w:hAnsi="Arial" w:cs="Arial"/>
          <w:sz w:val="20"/>
          <w:szCs w:val="20"/>
        </w:rPr>
        <w:t>Non è necessario.</w:t>
      </w:r>
      <w:r w:rsidR="0078531F">
        <w:rPr>
          <w:rFonts w:ascii="Arial" w:eastAsia="Arial" w:hAnsi="Arial" w:cs="Arial"/>
          <w:sz w:val="20"/>
          <w:szCs w:val="20"/>
        </w:rPr>
        <w:t xml:space="preserve"> </w:t>
      </w:r>
      <w:r w:rsidRPr="0078531F">
        <w:rPr>
          <w:rFonts w:ascii="Arial" w:eastAsia="Arial" w:hAnsi="Arial" w:cs="Arial"/>
          <w:sz w:val="20"/>
          <w:szCs w:val="20"/>
        </w:rPr>
        <w:t>I</w:t>
      </w:r>
      <w:r w:rsidRPr="004A48E4">
        <w:rPr>
          <w:rFonts w:ascii="Arial" w:eastAsia="Arial" w:hAnsi="Arial" w:cs="Arial"/>
          <w:sz w:val="20"/>
          <w:szCs w:val="20"/>
        </w:rPr>
        <w:t>n virtù della clausola di salvaguardia prevista</w:t>
      </w:r>
      <w:r w:rsidRPr="0078531F">
        <w:rPr>
          <w:rFonts w:ascii="Arial" w:eastAsia="Arial" w:hAnsi="Arial" w:cs="Arial"/>
          <w:sz w:val="20"/>
          <w:szCs w:val="20"/>
        </w:rPr>
        <w:t xml:space="preserve"> dall’</w:t>
      </w:r>
      <w:r w:rsidR="0078531F" w:rsidRPr="0078531F">
        <w:rPr>
          <w:rFonts w:ascii="Arial" w:eastAsia="Arial" w:hAnsi="Arial" w:cs="Arial"/>
          <w:sz w:val="20"/>
          <w:szCs w:val="20"/>
        </w:rPr>
        <w:t>a</w:t>
      </w:r>
      <w:r w:rsidRPr="0078531F">
        <w:rPr>
          <w:rFonts w:ascii="Arial" w:eastAsia="Arial" w:hAnsi="Arial" w:cs="Arial"/>
          <w:sz w:val="20"/>
          <w:szCs w:val="20"/>
        </w:rPr>
        <w:t>rt. 170, comma 3, tutti i richi</w:t>
      </w:r>
      <w:r w:rsidRPr="004A48E4">
        <w:rPr>
          <w:rFonts w:ascii="Arial" w:eastAsia="Arial" w:hAnsi="Arial" w:cs="Arial"/>
          <w:sz w:val="20"/>
          <w:szCs w:val="20"/>
        </w:rPr>
        <w:t>ami al D</w:t>
      </w:r>
      <w:r w:rsidR="0078531F">
        <w:rPr>
          <w:rFonts w:ascii="Arial" w:eastAsia="Arial" w:hAnsi="Arial" w:cs="Arial"/>
          <w:sz w:val="20"/>
          <w:szCs w:val="20"/>
        </w:rPr>
        <w:t>.</w:t>
      </w:r>
      <w:r w:rsidRPr="004A48E4">
        <w:rPr>
          <w:rFonts w:ascii="Arial" w:eastAsia="Arial" w:hAnsi="Arial" w:cs="Arial"/>
          <w:sz w:val="20"/>
          <w:szCs w:val="20"/>
        </w:rPr>
        <w:t>P</w:t>
      </w:r>
      <w:r w:rsidR="0078531F">
        <w:rPr>
          <w:rFonts w:ascii="Arial" w:eastAsia="Arial" w:hAnsi="Arial" w:cs="Arial"/>
          <w:sz w:val="20"/>
          <w:szCs w:val="20"/>
        </w:rPr>
        <w:t>.</w:t>
      </w:r>
      <w:r w:rsidRPr="004A48E4">
        <w:rPr>
          <w:rFonts w:ascii="Arial" w:eastAsia="Arial" w:hAnsi="Arial" w:cs="Arial"/>
          <w:sz w:val="20"/>
          <w:szCs w:val="20"/>
        </w:rPr>
        <w:t>R</w:t>
      </w:r>
      <w:r w:rsidR="0078531F">
        <w:rPr>
          <w:rFonts w:ascii="Arial" w:eastAsia="Arial" w:hAnsi="Arial" w:cs="Arial"/>
          <w:sz w:val="20"/>
          <w:szCs w:val="20"/>
        </w:rPr>
        <w:t>.</w:t>
      </w:r>
      <w:r w:rsidRPr="004A48E4">
        <w:rPr>
          <w:rFonts w:ascii="Arial" w:eastAsia="Arial" w:hAnsi="Arial" w:cs="Arial"/>
          <w:sz w:val="20"/>
          <w:szCs w:val="20"/>
        </w:rPr>
        <w:t xml:space="preserve"> </w:t>
      </w:r>
      <w:r w:rsidR="0078531F">
        <w:rPr>
          <w:rFonts w:ascii="Arial" w:eastAsia="Arial" w:hAnsi="Arial" w:cs="Arial"/>
          <w:sz w:val="20"/>
          <w:szCs w:val="20"/>
        </w:rPr>
        <w:t xml:space="preserve">n. </w:t>
      </w:r>
      <w:r w:rsidRPr="004A48E4">
        <w:rPr>
          <w:rFonts w:ascii="Arial" w:eastAsia="Arial" w:hAnsi="Arial" w:cs="Arial"/>
          <w:sz w:val="20"/>
          <w:szCs w:val="20"/>
        </w:rPr>
        <w:t>633/1972 presenti nei documenti stipulati prima del 2027 sono legalmente convertiti nei corrispondenti articoli del nuovo Testo Unico. È comunque consigliabile aggiornare i modelli contrattuali per le nuove stipule.</w:t>
      </w:r>
    </w:p>
    <w:p w14:paraId="1E1FEEE7" w14:textId="045767D6"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4A1CE883" w14:textId="0F0C189F"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3. Cosa accade se al 1° gennaio 2027 il gestionale emette una fattura XML con i vecchi articoli del D</w:t>
      </w:r>
      <w:r w:rsidR="0078531F">
        <w:rPr>
          <w:rFonts w:ascii="Arial" w:eastAsia="Arial" w:hAnsi="Arial" w:cs="Arial"/>
          <w:b/>
          <w:bCs/>
          <w:sz w:val="20"/>
          <w:szCs w:val="20"/>
        </w:rPr>
        <w:t>.</w:t>
      </w:r>
      <w:r w:rsidRPr="004A48E4">
        <w:rPr>
          <w:rFonts w:ascii="Arial" w:eastAsia="Arial" w:hAnsi="Arial" w:cs="Arial"/>
          <w:b/>
          <w:bCs/>
          <w:sz w:val="20"/>
          <w:szCs w:val="20"/>
        </w:rPr>
        <w:t>P</w:t>
      </w:r>
      <w:r w:rsidR="0078531F">
        <w:rPr>
          <w:rFonts w:ascii="Arial" w:eastAsia="Arial" w:hAnsi="Arial" w:cs="Arial"/>
          <w:b/>
          <w:bCs/>
          <w:sz w:val="20"/>
          <w:szCs w:val="20"/>
        </w:rPr>
        <w:t>.</w:t>
      </w:r>
      <w:r w:rsidRPr="004A48E4">
        <w:rPr>
          <w:rFonts w:ascii="Arial" w:eastAsia="Arial" w:hAnsi="Arial" w:cs="Arial"/>
          <w:b/>
          <w:bCs/>
          <w:sz w:val="20"/>
          <w:szCs w:val="20"/>
        </w:rPr>
        <w:t>R</w:t>
      </w:r>
      <w:r w:rsidR="0078531F">
        <w:rPr>
          <w:rFonts w:ascii="Arial" w:eastAsia="Arial" w:hAnsi="Arial" w:cs="Arial"/>
          <w:b/>
          <w:bCs/>
          <w:sz w:val="20"/>
          <w:szCs w:val="20"/>
        </w:rPr>
        <w:t>.</w:t>
      </w:r>
      <w:r w:rsidRPr="004A48E4">
        <w:rPr>
          <w:rFonts w:ascii="Arial" w:eastAsia="Arial" w:hAnsi="Arial" w:cs="Arial"/>
          <w:b/>
          <w:bCs/>
          <w:sz w:val="20"/>
          <w:szCs w:val="20"/>
        </w:rPr>
        <w:t xml:space="preserve"> </w:t>
      </w:r>
      <w:r w:rsidR="0078531F">
        <w:rPr>
          <w:rFonts w:ascii="Arial" w:eastAsia="Arial" w:hAnsi="Arial" w:cs="Arial"/>
          <w:b/>
          <w:bCs/>
          <w:sz w:val="20"/>
          <w:szCs w:val="20"/>
        </w:rPr>
        <w:t xml:space="preserve">n. </w:t>
      </w:r>
      <w:r w:rsidRPr="004A48E4">
        <w:rPr>
          <w:rFonts w:ascii="Arial" w:eastAsia="Arial" w:hAnsi="Arial" w:cs="Arial"/>
          <w:b/>
          <w:bCs/>
          <w:sz w:val="20"/>
          <w:szCs w:val="20"/>
        </w:rPr>
        <w:t>633/72?</w:t>
      </w:r>
    </w:p>
    <w:p w14:paraId="5210C633"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La fattura non verrà scartata dal Sistema di Interscambio (SDI) e manterrà piena validità fiscale. Non verranno irrogate sanzioni formali nel periodo di tolleranza, proprio grazie alle disposizioni transitorie del Testo Unico.</w:t>
      </w:r>
    </w:p>
    <w:p w14:paraId="68907FD8" w14:textId="5E19538B"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0A858233" w14:textId="77777777"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4. Come viene gestito il “punto fiscale” per le operazioni a cavallo tra il 2026 e il 2027?</w:t>
      </w:r>
    </w:p>
    <w:p w14:paraId="3EE09440" w14:textId="5DC67792"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L’effettuazione dell’operazione è regola</w:t>
      </w:r>
      <w:r w:rsidRPr="0078531F">
        <w:rPr>
          <w:rFonts w:ascii="Arial" w:eastAsia="Arial" w:hAnsi="Arial" w:cs="Arial"/>
          <w:sz w:val="20"/>
          <w:szCs w:val="20"/>
        </w:rPr>
        <w:t>ta dal</w:t>
      </w:r>
      <w:r w:rsidR="0078531F">
        <w:rPr>
          <w:rFonts w:ascii="Arial" w:eastAsia="Arial" w:hAnsi="Arial" w:cs="Arial"/>
          <w:sz w:val="20"/>
          <w:szCs w:val="20"/>
        </w:rPr>
        <w:t xml:space="preserve"> </w:t>
      </w:r>
      <w:r w:rsidRPr="0078531F">
        <w:rPr>
          <w:rFonts w:ascii="Arial" w:eastAsia="Arial" w:hAnsi="Arial" w:cs="Arial"/>
          <w:sz w:val="20"/>
          <w:szCs w:val="20"/>
        </w:rPr>
        <w:t xml:space="preserve">nuovo </w:t>
      </w:r>
      <w:r w:rsidR="0078531F">
        <w:rPr>
          <w:rFonts w:ascii="Arial" w:eastAsia="Arial" w:hAnsi="Arial" w:cs="Arial"/>
          <w:sz w:val="20"/>
          <w:szCs w:val="20"/>
        </w:rPr>
        <w:t>a</w:t>
      </w:r>
      <w:r w:rsidRPr="0078531F">
        <w:rPr>
          <w:rFonts w:ascii="Arial" w:eastAsia="Arial" w:hAnsi="Arial" w:cs="Arial"/>
          <w:sz w:val="20"/>
          <w:szCs w:val="20"/>
        </w:rPr>
        <w:t>rt. 24, che u</w:t>
      </w:r>
      <w:r w:rsidRPr="004A48E4">
        <w:rPr>
          <w:rFonts w:ascii="Arial" w:eastAsia="Arial" w:hAnsi="Arial" w:cs="Arial"/>
          <w:sz w:val="20"/>
          <w:szCs w:val="20"/>
        </w:rPr>
        <w:t>nifica la disciplina delle cessioni interne e unionali. Se l’operazione si considera effettuata (consegna, pagamento o fatturazione anticipata) entro il 31 dicembre 2026, si applica la normativa previgente; per operazioni effettuate a partire dal 1° gennaio 2027 troverà applicazione formale il nuovo Testo Unico.</w:t>
      </w:r>
    </w:p>
    <w:p w14:paraId="48A43E28" w14:textId="21E5FFFF"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p>
    <w:p w14:paraId="5FF15561" w14:textId="5A566DA2" w:rsidR="004B5DEB" w:rsidRPr="004A48E4"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b/>
          <w:bCs/>
          <w:sz w:val="20"/>
          <w:szCs w:val="20"/>
        </w:rPr>
        <w:t xml:space="preserve">5. Che novità ci sono per il </w:t>
      </w:r>
      <w:r w:rsidR="0078531F">
        <w:rPr>
          <w:rFonts w:ascii="Arial" w:eastAsia="Arial" w:hAnsi="Arial" w:cs="Arial"/>
          <w:b/>
          <w:bCs/>
          <w:sz w:val="20"/>
          <w:szCs w:val="20"/>
        </w:rPr>
        <w:t>r</w:t>
      </w:r>
      <w:r w:rsidRPr="004A48E4">
        <w:rPr>
          <w:rFonts w:ascii="Arial" w:eastAsia="Arial" w:hAnsi="Arial" w:cs="Arial"/>
          <w:b/>
          <w:bCs/>
          <w:sz w:val="20"/>
          <w:szCs w:val="20"/>
        </w:rPr>
        <w:t xml:space="preserve">everse </w:t>
      </w:r>
      <w:proofErr w:type="spellStart"/>
      <w:r w:rsidR="0078531F">
        <w:rPr>
          <w:rFonts w:ascii="Arial" w:eastAsia="Arial" w:hAnsi="Arial" w:cs="Arial"/>
          <w:b/>
          <w:bCs/>
          <w:sz w:val="20"/>
          <w:szCs w:val="20"/>
        </w:rPr>
        <w:t>c</w:t>
      </w:r>
      <w:r w:rsidRPr="004A48E4">
        <w:rPr>
          <w:rFonts w:ascii="Arial" w:eastAsia="Arial" w:hAnsi="Arial" w:cs="Arial"/>
          <w:b/>
          <w:bCs/>
          <w:sz w:val="20"/>
          <w:szCs w:val="20"/>
        </w:rPr>
        <w:t>harge</w:t>
      </w:r>
      <w:proofErr w:type="spellEnd"/>
      <w:r w:rsidRPr="004A48E4">
        <w:rPr>
          <w:rFonts w:ascii="Arial" w:eastAsia="Arial" w:hAnsi="Arial" w:cs="Arial"/>
          <w:b/>
          <w:bCs/>
          <w:sz w:val="20"/>
          <w:szCs w:val="20"/>
        </w:rPr>
        <w:t xml:space="preserve"> e lo </w:t>
      </w:r>
      <w:r w:rsidR="0078531F">
        <w:rPr>
          <w:rFonts w:ascii="Arial" w:eastAsia="Arial" w:hAnsi="Arial" w:cs="Arial"/>
          <w:b/>
          <w:bCs/>
          <w:sz w:val="20"/>
          <w:szCs w:val="20"/>
        </w:rPr>
        <w:t>s</w:t>
      </w:r>
      <w:r w:rsidRPr="004A48E4">
        <w:rPr>
          <w:rFonts w:ascii="Arial" w:eastAsia="Arial" w:hAnsi="Arial" w:cs="Arial"/>
          <w:b/>
          <w:bCs/>
          <w:sz w:val="20"/>
          <w:szCs w:val="20"/>
        </w:rPr>
        <w:t xml:space="preserve">plit </w:t>
      </w:r>
      <w:r w:rsidR="0078531F">
        <w:rPr>
          <w:rFonts w:ascii="Arial" w:eastAsia="Arial" w:hAnsi="Arial" w:cs="Arial"/>
          <w:b/>
          <w:bCs/>
          <w:sz w:val="20"/>
          <w:szCs w:val="20"/>
        </w:rPr>
        <w:t>p</w:t>
      </w:r>
      <w:r w:rsidRPr="004A48E4">
        <w:rPr>
          <w:rFonts w:ascii="Arial" w:eastAsia="Arial" w:hAnsi="Arial" w:cs="Arial"/>
          <w:b/>
          <w:bCs/>
          <w:sz w:val="20"/>
          <w:szCs w:val="20"/>
        </w:rPr>
        <w:t>ayment?</w:t>
      </w:r>
    </w:p>
    <w:p w14:paraId="486543B4" w14:textId="051029C5" w:rsidR="004B5DEB" w:rsidRPr="0078531F" w:rsidRDefault="004B5DEB" w:rsidP="004A48E4">
      <w:pPr>
        <w:pBdr>
          <w:top w:val="nil"/>
          <w:left w:val="nil"/>
          <w:bottom w:val="nil"/>
          <w:right w:val="nil"/>
          <w:between w:val="nil"/>
        </w:pBdr>
        <w:spacing w:line="300" w:lineRule="atLeast"/>
        <w:ind w:left="0" w:hanging="2"/>
        <w:jc w:val="both"/>
        <w:rPr>
          <w:rFonts w:ascii="Arial" w:eastAsia="Arial" w:hAnsi="Arial" w:cs="Arial"/>
          <w:sz w:val="20"/>
          <w:szCs w:val="20"/>
        </w:rPr>
      </w:pPr>
      <w:r w:rsidRPr="004A48E4">
        <w:rPr>
          <w:rFonts w:ascii="Arial" w:eastAsia="Arial" w:hAnsi="Arial" w:cs="Arial"/>
          <w:sz w:val="20"/>
          <w:szCs w:val="20"/>
        </w:rPr>
        <w:t>Entrambi gli istituti confluiscono organicamente nel nuovo articola</w:t>
      </w:r>
      <w:r w:rsidRPr="0078531F">
        <w:rPr>
          <w:rFonts w:ascii="Arial" w:eastAsia="Arial" w:hAnsi="Arial" w:cs="Arial"/>
          <w:sz w:val="20"/>
          <w:szCs w:val="20"/>
        </w:rPr>
        <w:t>to: il</w:t>
      </w:r>
      <w:r w:rsidR="0078531F">
        <w:rPr>
          <w:rFonts w:ascii="Arial" w:eastAsia="Arial" w:hAnsi="Arial" w:cs="Arial"/>
          <w:sz w:val="20"/>
          <w:szCs w:val="20"/>
        </w:rPr>
        <w:t xml:space="preserve"> r</w:t>
      </w:r>
      <w:r w:rsidRPr="0078531F">
        <w:rPr>
          <w:rFonts w:ascii="Arial" w:eastAsia="Arial" w:hAnsi="Arial" w:cs="Arial"/>
          <w:sz w:val="20"/>
          <w:szCs w:val="20"/>
        </w:rPr>
        <w:t xml:space="preserve">everse </w:t>
      </w:r>
      <w:proofErr w:type="spellStart"/>
      <w:r w:rsidR="0078531F">
        <w:rPr>
          <w:rFonts w:ascii="Arial" w:eastAsia="Arial" w:hAnsi="Arial" w:cs="Arial"/>
          <w:sz w:val="20"/>
          <w:szCs w:val="20"/>
        </w:rPr>
        <w:t>c</w:t>
      </w:r>
      <w:r w:rsidRPr="0078531F">
        <w:rPr>
          <w:rFonts w:ascii="Arial" w:eastAsia="Arial" w:hAnsi="Arial" w:cs="Arial"/>
          <w:sz w:val="20"/>
          <w:szCs w:val="20"/>
        </w:rPr>
        <w:t>harge</w:t>
      </w:r>
      <w:proofErr w:type="spellEnd"/>
      <w:r w:rsidR="0078531F">
        <w:rPr>
          <w:rFonts w:ascii="Arial" w:eastAsia="Arial" w:hAnsi="Arial" w:cs="Arial"/>
          <w:sz w:val="20"/>
          <w:szCs w:val="20"/>
        </w:rPr>
        <w:t xml:space="preserve"> </w:t>
      </w:r>
      <w:r w:rsidRPr="0078531F">
        <w:rPr>
          <w:rFonts w:ascii="Arial" w:eastAsia="Arial" w:hAnsi="Arial" w:cs="Arial"/>
          <w:sz w:val="20"/>
          <w:szCs w:val="20"/>
        </w:rPr>
        <w:t>(interno, esterno, per edilizia e logistica) viene accentrato nell’</w:t>
      </w:r>
      <w:r w:rsidR="0078531F">
        <w:rPr>
          <w:rFonts w:ascii="Arial" w:eastAsia="Arial" w:hAnsi="Arial" w:cs="Arial"/>
          <w:sz w:val="20"/>
          <w:szCs w:val="20"/>
        </w:rPr>
        <w:t>a</w:t>
      </w:r>
      <w:r w:rsidRPr="0078531F">
        <w:rPr>
          <w:rFonts w:ascii="Arial" w:eastAsia="Arial" w:hAnsi="Arial" w:cs="Arial"/>
          <w:sz w:val="20"/>
          <w:szCs w:val="20"/>
        </w:rPr>
        <w:t>rt</w:t>
      </w:r>
      <w:r w:rsidR="0078531F">
        <w:rPr>
          <w:rFonts w:ascii="Arial" w:eastAsia="Arial" w:hAnsi="Arial" w:cs="Arial"/>
          <w:sz w:val="20"/>
          <w:szCs w:val="20"/>
        </w:rPr>
        <w:t>.</w:t>
      </w:r>
      <w:r w:rsidRPr="0078531F">
        <w:rPr>
          <w:rFonts w:ascii="Arial" w:eastAsia="Arial" w:hAnsi="Arial" w:cs="Arial"/>
          <w:sz w:val="20"/>
          <w:szCs w:val="20"/>
        </w:rPr>
        <w:t xml:space="preserve"> 64, mentre lo</w:t>
      </w:r>
      <w:r w:rsidR="0078531F">
        <w:rPr>
          <w:rFonts w:ascii="Arial" w:eastAsia="Arial" w:hAnsi="Arial" w:cs="Arial"/>
          <w:sz w:val="20"/>
          <w:szCs w:val="20"/>
        </w:rPr>
        <w:t xml:space="preserve"> s</w:t>
      </w:r>
      <w:r w:rsidRPr="0078531F">
        <w:rPr>
          <w:rFonts w:ascii="Arial" w:eastAsia="Arial" w:hAnsi="Arial" w:cs="Arial"/>
          <w:sz w:val="20"/>
          <w:szCs w:val="20"/>
        </w:rPr>
        <w:t xml:space="preserve">plit </w:t>
      </w:r>
      <w:r w:rsidR="0078531F">
        <w:rPr>
          <w:rFonts w:ascii="Arial" w:eastAsia="Arial" w:hAnsi="Arial" w:cs="Arial"/>
          <w:sz w:val="20"/>
          <w:szCs w:val="20"/>
        </w:rPr>
        <w:t>p</w:t>
      </w:r>
      <w:r w:rsidRPr="0078531F">
        <w:rPr>
          <w:rFonts w:ascii="Arial" w:eastAsia="Arial" w:hAnsi="Arial" w:cs="Arial"/>
          <w:sz w:val="20"/>
          <w:szCs w:val="20"/>
        </w:rPr>
        <w:t>ayment</w:t>
      </w:r>
      <w:r w:rsidR="0078531F">
        <w:rPr>
          <w:rFonts w:ascii="Arial" w:eastAsia="Arial" w:hAnsi="Arial" w:cs="Arial"/>
          <w:sz w:val="20"/>
          <w:szCs w:val="20"/>
        </w:rPr>
        <w:t xml:space="preserve"> </w:t>
      </w:r>
      <w:r w:rsidRPr="0078531F">
        <w:rPr>
          <w:rFonts w:ascii="Arial" w:eastAsia="Arial" w:hAnsi="Arial" w:cs="Arial"/>
          <w:sz w:val="20"/>
          <w:szCs w:val="20"/>
        </w:rPr>
        <w:t>è disciplinato dall’</w:t>
      </w:r>
      <w:r w:rsidR="0078531F">
        <w:rPr>
          <w:rFonts w:ascii="Arial" w:eastAsia="Arial" w:hAnsi="Arial" w:cs="Arial"/>
          <w:sz w:val="20"/>
          <w:szCs w:val="20"/>
        </w:rPr>
        <w:t>a</w:t>
      </w:r>
      <w:r w:rsidRPr="0078531F">
        <w:rPr>
          <w:rFonts w:ascii="Arial" w:eastAsia="Arial" w:hAnsi="Arial" w:cs="Arial"/>
          <w:sz w:val="20"/>
          <w:szCs w:val="20"/>
        </w:rPr>
        <w:t>rt</w:t>
      </w:r>
      <w:r w:rsidR="0078531F">
        <w:rPr>
          <w:rFonts w:ascii="Arial" w:eastAsia="Arial" w:hAnsi="Arial" w:cs="Arial"/>
          <w:sz w:val="20"/>
          <w:szCs w:val="20"/>
        </w:rPr>
        <w:t>.</w:t>
      </w:r>
      <w:r w:rsidRPr="0078531F">
        <w:rPr>
          <w:rFonts w:ascii="Arial" w:eastAsia="Arial" w:hAnsi="Arial" w:cs="Arial"/>
          <w:sz w:val="20"/>
          <w:szCs w:val="20"/>
        </w:rPr>
        <w:t xml:space="preserve"> 65.</w:t>
      </w:r>
    </w:p>
    <w:p w14:paraId="72B6063D" w14:textId="64330517" w:rsidR="004B5DEB" w:rsidRDefault="004B5DEB" w:rsidP="004A48E4">
      <w:pPr>
        <w:pBdr>
          <w:top w:val="nil"/>
          <w:left w:val="nil"/>
          <w:bottom w:val="nil"/>
          <w:right w:val="nil"/>
          <w:between w:val="nil"/>
        </w:pBdr>
        <w:spacing w:line="300" w:lineRule="atLeast"/>
        <w:ind w:leftChars="0" w:left="0" w:firstLineChars="0" w:firstLine="0"/>
        <w:jc w:val="both"/>
        <w:rPr>
          <w:rFonts w:ascii="Arial" w:eastAsia="Arial" w:hAnsi="Arial" w:cs="Arial"/>
          <w:sz w:val="20"/>
          <w:szCs w:val="20"/>
        </w:rPr>
      </w:pPr>
    </w:p>
    <w:p w14:paraId="01410159" w14:textId="06F504F3" w:rsidR="004A48E4" w:rsidRDefault="004A48E4" w:rsidP="004A48E4">
      <w:pPr>
        <w:pBdr>
          <w:top w:val="nil"/>
          <w:left w:val="nil"/>
          <w:bottom w:val="nil"/>
          <w:right w:val="nil"/>
          <w:between w:val="nil"/>
        </w:pBdr>
        <w:spacing w:line="300" w:lineRule="atLeast"/>
        <w:ind w:leftChars="0" w:left="0" w:firstLineChars="0" w:firstLine="0"/>
        <w:jc w:val="both"/>
        <w:rPr>
          <w:rFonts w:ascii="Arial" w:eastAsia="Arial" w:hAnsi="Arial" w:cs="Arial"/>
          <w:sz w:val="20"/>
          <w:szCs w:val="20"/>
        </w:rPr>
      </w:pPr>
      <w:r>
        <w:rPr>
          <w:rFonts w:ascii="Arial" w:eastAsia="Arial" w:hAnsi="Arial" w:cs="Arial"/>
          <w:sz w:val="20"/>
          <w:szCs w:val="20"/>
        </w:rPr>
        <w:br w:type="page"/>
      </w:r>
    </w:p>
    <w:p w14:paraId="00CB8EFC" w14:textId="77777777" w:rsidR="004A48E4" w:rsidRPr="004A48E4" w:rsidRDefault="004A48E4" w:rsidP="004A48E4">
      <w:pPr>
        <w:pBdr>
          <w:top w:val="nil"/>
          <w:left w:val="nil"/>
          <w:bottom w:val="nil"/>
          <w:right w:val="nil"/>
          <w:between w:val="nil"/>
        </w:pBdr>
        <w:spacing w:line="300" w:lineRule="atLeast"/>
        <w:ind w:leftChars="0" w:left="0" w:firstLineChars="0" w:firstLine="0"/>
        <w:jc w:val="both"/>
        <w:rPr>
          <w:rFonts w:ascii="Arial" w:eastAsia="Arial" w:hAnsi="Arial" w:cs="Arial"/>
          <w:sz w:val="20"/>
          <w:szCs w:val="20"/>
        </w:rPr>
      </w:pPr>
    </w:p>
    <w:p w14:paraId="0493184E" w14:textId="77777777" w:rsidR="007612B6" w:rsidRPr="00611544" w:rsidRDefault="007612B6" w:rsidP="007612B6">
      <w:pPr>
        <w:shd w:val="clear" w:color="auto" w:fill="FFFFFF"/>
        <w:spacing w:line="300" w:lineRule="atLeast"/>
        <w:ind w:left="0" w:hanging="2"/>
        <w:jc w:val="center"/>
        <w:rPr>
          <w:rFonts w:ascii="Calibri" w:eastAsia="Aptos" w:hAnsi="Calibri" w:cs="Arial"/>
          <w:color w:val="0F0F0F"/>
          <w:kern w:val="2"/>
          <w:sz w:val="22"/>
          <w:szCs w:val="22"/>
          <w:lang w:eastAsia="en-US"/>
        </w:rPr>
      </w:pPr>
      <w:r w:rsidRPr="00611544">
        <w:rPr>
          <w:rFonts w:ascii="Calibri" w:eastAsia="Aptos" w:hAnsi="Calibri" w:cs="Arial"/>
          <w:color w:val="0F0F0F"/>
          <w:kern w:val="2"/>
          <w:sz w:val="22"/>
          <w:szCs w:val="22"/>
          <w:lang w:eastAsia="en-US"/>
        </w:rPr>
        <w:t>ACCERTAMENTO E RISCOSSIONE</w:t>
      </w:r>
    </w:p>
    <w:p w14:paraId="1A182508" w14:textId="77777777" w:rsidR="007612B6" w:rsidRPr="00062B15" w:rsidRDefault="007612B6" w:rsidP="007612B6">
      <w:pPr>
        <w:pBdr>
          <w:top w:val="nil"/>
          <w:left w:val="nil"/>
          <w:bottom w:val="nil"/>
          <w:right w:val="nil"/>
          <w:between w:val="nil"/>
        </w:pBdr>
        <w:spacing w:line="300" w:lineRule="atLeast"/>
        <w:ind w:leftChars="0" w:left="0" w:right="-30" w:firstLineChars="0" w:firstLine="0"/>
        <w:jc w:val="center"/>
        <w:rPr>
          <w:rFonts w:ascii="Arial" w:eastAsia="Arial" w:hAnsi="Arial" w:cs="Arial"/>
          <w:b/>
          <w:sz w:val="20"/>
          <w:szCs w:val="20"/>
        </w:rPr>
      </w:pPr>
      <w:r w:rsidRPr="00062B15">
        <w:rPr>
          <w:rFonts w:ascii="Arial" w:eastAsia="Arial" w:hAnsi="Arial" w:cs="Arial"/>
          <w:b/>
          <w:sz w:val="20"/>
          <w:szCs w:val="20"/>
        </w:rPr>
        <w:t xml:space="preserve">Decreto Omnibus: nuovi vantaggi e ravvedimento speciale 2023 per chi rinnova il </w:t>
      </w:r>
      <w:r>
        <w:rPr>
          <w:rFonts w:ascii="Arial" w:eastAsia="Arial" w:hAnsi="Arial" w:cs="Arial"/>
          <w:b/>
          <w:sz w:val="20"/>
          <w:szCs w:val="20"/>
        </w:rPr>
        <w:t>c</w:t>
      </w:r>
      <w:r w:rsidRPr="00062B15">
        <w:rPr>
          <w:rFonts w:ascii="Arial" w:eastAsia="Arial" w:hAnsi="Arial" w:cs="Arial"/>
          <w:b/>
          <w:sz w:val="20"/>
          <w:szCs w:val="20"/>
        </w:rPr>
        <w:t xml:space="preserve">oncordato </w:t>
      </w:r>
      <w:r>
        <w:rPr>
          <w:rFonts w:ascii="Arial" w:eastAsia="Arial" w:hAnsi="Arial" w:cs="Arial"/>
          <w:b/>
          <w:sz w:val="20"/>
          <w:szCs w:val="20"/>
        </w:rPr>
        <w:t>p</w:t>
      </w:r>
      <w:r w:rsidRPr="00062B15">
        <w:rPr>
          <w:rFonts w:ascii="Arial" w:eastAsia="Arial" w:hAnsi="Arial" w:cs="Arial"/>
          <w:b/>
          <w:sz w:val="20"/>
          <w:szCs w:val="20"/>
        </w:rPr>
        <w:t xml:space="preserve">reventivo </w:t>
      </w:r>
      <w:r>
        <w:rPr>
          <w:rFonts w:ascii="Arial" w:eastAsia="Arial" w:hAnsi="Arial" w:cs="Arial"/>
          <w:b/>
          <w:sz w:val="20"/>
          <w:szCs w:val="20"/>
        </w:rPr>
        <w:t>b</w:t>
      </w:r>
      <w:r w:rsidRPr="00062B15">
        <w:rPr>
          <w:rFonts w:ascii="Arial" w:eastAsia="Arial" w:hAnsi="Arial" w:cs="Arial"/>
          <w:b/>
          <w:sz w:val="20"/>
          <w:szCs w:val="20"/>
        </w:rPr>
        <w:t>iennale</w:t>
      </w:r>
    </w:p>
    <w:p w14:paraId="2B515C54" w14:textId="77777777" w:rsidR="007612B6" w:rsidRPr="003D71EE" w:rsidRDefault="007612B6" w:rsidP="007612B6">
      <w:pPr>
        <w:shd w:val="clear" w:color="auto" w:fill="FFFFFF"/>
        <w:spacing w:line="300" w:lineRule="atLeast"/>
        <w:ind w:leftChars="0" w:left="2" w:hanging="2"/>
        <w:jc w:val="center"/>
        <w:rPr>
          <w:rFonts w:ascii="Arial" w:eastAsia="Arial" w:hAnsi="Arial" w:cs="Arial"/>
          <w:i/>
          <w:iCs/>
          <w:sz w:val="20"/>
          <w:szCs w:val="20"/>
        </w:rPr>
      </w:pPr>
      <w:proofErr w:type="spellStart"/>
      <w:r w:rsidRPr="003D71EE">
        <w:rPr>
          <w:rFonts w:ascii="Arial" w:eastAsia="Arial" w:hAnsi="Arial" w:cs="Arial"/>
          <w:i/>
          <w:iCs/>
          <w:sz w:val="20"/>
          <w:szCs w:val="20"/>
        </w:rPr>
        <w:t>D.Lgs.</w:t>
      </w:r>
      <w:proofErr w:type="spellEnd"/>
      <w:r w:rsidRPr="003D71EE">
        <w:rPr>
          <w:rFonts w:ascii="Arial" w:eastAsia="Arial" w:hAnsi="Arial" w:cs="Arial"/>
          <w:i/>
          <w:iCs/>
          <w:sz w:val="20"/>
          <w:szCs w:val="20"/>
        </w:rPr>
        <w:t xml:space="preserve"> 7 agosto 2026, n. 148, artt. 28 e</w:t>
      </w:r>
      <w:r>
        <w:rPr>
          <w:rFonts w:ascii="Arial" w:eastAsia="Arial" w:hAnsi="Arial" w:cs="Arial"/>
          <w:i/>
          <w:iCs/>
          <w:sz w:val="20"/>
          <w:szCs w:val="20"/>
        </w:rPr>
        <w:t xml:space="preserve"> 29</w:t>
      </w:r>
    </w:p>
    <w:p w14:paraId="6B4FD3BC" w14:textId="77777777" w:rsidR="007612B6" w:rsidRPr="00062B15" w:rsidRDefault="007612B6" w:rsidP="007612B6">
      <w:pPr>
        <w:shd w:val="clear" w:color="auto" w:fill="FFFFFF"/>
        <w:spacing w:line="300" w:lineRule="atLeast"/>
        <w:ind w:leftChars="0" w:left="2" w:hanging="2"/>
        <w:jc w:val="both"/>
        <w:rPr>
          <w:rFonts w:ascii="Arial" w:eastAsia="Arial" w:hAnsi="Arial" w:cs="Arial"/>
          <w:sz w:val="20"/>
          <w:szCs w:val="20"/>
        </w:rPr>
      </w:pPr>
      <w:r w:rsidRPr="00062B15">
        <w:rPr>
          <w:rFonts w:ascii="Arial" w:eastAsia="Arial" w:hAnsi="Arial" w:cs="Arial"/>
          <w:sz w:val="20"/>
          <w:szCs w:val="20"/>
        </w:rPr>
        <w:t xml:space="preserve">Il recente </w:t>
      </w:r>
      <w:r>
        <w:rPr>
          <w:rFonts w:ascii="Arial" w:eastAsia="Arial" w:hAnsi="Arial" w:cs="Arial"/>
          <w:sz w:val="20"/>
          <w:szCs w:val="20"/>
        </w:rPr>
        <w:t>d</w:t>
      </w:r>
      <w:r w:rsidRPr="00062B15">
        <w:rPr>
          <w:rFonts w:ascii="Arial" w:eastAsia="Arial" w:hAnsi="Arial" w:cs="Arial"/>
          <w:sz w:val="20"/>
          <w:szCs w:val="20"/>
        </w:rPr>
        <w:t xml:space="preserve">ecreto </w:t>
      </w:r>
      <w:r>
        <w:rPr>
          <w:rFonts w:ascii="Arial" w:eastAsia="Arial" w:hAnsi="Arial" w:cs="Arial"/>
          <w:sz w:val="20"/>
          <w:szCs w:val="20"/>
        </w:rPr>
        <w:t xml:space="preserve">correttivo </w:t>
      </w:r>
      <w:r w:rsidRPr="00062B15">
        <w:rPr>
          <w:rFonts w:ascii="Arial" w:eastAsia="Arial" w:hAnsi="Arial" w:cs="Arial"/>
          <w:sz w:val="20"/>
          <w:szCs w:val="20"/>
        </w:rPr>
        <w:t>Omnib</w:t>
      </w:r>
      <w:r w:rsidRPr="003D71EE">
        <w:rPr>
          <w:rFonts w:ascii="Arial" w:eastAsia="Arial" w:hAnsi="Arial" w:cs="Arial"/>
          <w:sz w:val="20"/>
          <w:szCs w:val="20"/>
        </w:rPr>
        <w:t>us (</w:t>
      </w:r>
      <w:proofErr w:type="spellStart"/>
      <w:r w:rsidRPr="003D71EE">
        <w:rPr>
          <w:rFonts w:ascii="Arial" w:eastAsia="Arial" w:hAnsi="Arial" w:cs="Arial"/>
          <w:sz w:val="20"/>
          <w:szCs w:val="20"/>
        </w:rPr>
        <w:t>D.Lgs.</w:t>
      </w:r>
      <w:proofErr w:type="spellEnd"/>
      <w:r w:rsidRPr="003D71EE">
        <w:rPr>
          <w:rFonts w:ascii="Arial" w:eastAsia="Arial" w:hAnsi="Arial" w:cs="Arial"/>
          <w:sz w:val="20"/>
          <w:szCs w:val="20"/>
        </w:rPr>
        <w:t xml:space="preserve"> 7 agosto 2026, n. 148) apporta</w:t>
      </w:r>
      <w:r w:rsidRPr="00062B15">
        <w:rPr>
          <w:rFonts w:ascii="Arial" w:eastAsia="Arial" w:hAnsi="Arial" w:cs="Arial"/>
          <w:sz w:val="20"/>
          <w:szCs w:val="20"/>
        </w:rPr>
        <w:t xml:space="preserve"> modifiche sostanziali alla disciplina del </w:t>
      </w:r>
      <w:r>
        <w:rPr>
          <w:rFonts w:ascii="Arial" w:eastAsia="Arial" w:hAnsi="Arial" w:cs="Arial"/>
          <w:sz w:val="20"/>
          <w:szCs w:val="20"/>
        </w:rPr>
        <w:t>c</w:t>
      </w:r>
      <w:r w:rsidRPr="00062B15">
        <w:rPr>
          <w:rFonts w:ascii="Arial" w:eastAsia="Arial" w:hAnsi="Arial" w:cs="Arial"/>
          <w:sz w:val="20"/>
          <w:szCs w:val="20"/>
        </w:rPr>
        <w:t xml:space="preserve">oncordato </w:t>
      </w:r>
      <w:r>
        <w:rPr>
          <w:rFonts w:ascii="Arial" w:eastAsia="Arial" w:hAnsi="Arial" w:cs="Arial"/>
          <w:sz w:val="20"/>
          <w:szCs w:val="20"/>
        </w:rPr>
        <w:t>p</w:t>
      </w:r>
      <w:r w:rsidRPr="00062B15">
        <w:rPr>
          <w:rFonts w:ascii="Arial" w:eastAsia="Arial" w:hAnsi="Arial" w:cs="Arial"/>
          <w:sz w:val="20"/>
          <w:szCs w:val="20"/>
        </w:rPr>
        <w:t xml:space="preserve">reventivo </w:t>
      </w:r>
      <w:r>
        <w:rPr>
          <w:rFonts w:ascii="Arial" w:eastAsia="Arial" w:hAnsi="Arial" w:cs="Arial"/>
          <w:sz w:val="20"/>
          <w:szCs w:val="20"/>
        </w:rPr>
        <w:t>b</w:t>
      </w:r>
      <w:r w:rsidRPr="00062B15">
        <w:rPr>
          <w:rFonts w:ascii="Arial" w:eastAsia="Arial" w:hAnsi="Arial" w:cs="Arial"/>
          <w:sz w:val="20"/>
          <w:szCs w:val="20"/>
        </w:rPr>
        <w:t>iennale (CPB).</w:t>
      </w:r>
    </w:p>
    <w:p w14:paraId="707ACF9A" w14:textId="77777777" w:rsidR="007612B6" w:rsidRPr="00062B15" w:rsidRDefault="007612B6" w:rsidP="007612B6">
      <w:pPr>
        <w:shd w:val="clear" w:color="auto" w:fill="FFFFFF"/>
        <w:spacing w:line="300" w:lineRule="atLeast"/>
        <w:ind w:leftChars="0" w:left="2" w:hanging="2"/>
        <w:jc w:val="both"/>
        <w:rPr>
          <w:rFonts w:ascii="Arial" w:eastAsia="Arial" w:hAnsi="Arial" w:cs="Arial"/>
          <w:sz w:val="20"/>
          <w:szCs w:val="20"/>
        </w:rPr>
      </w:pPr>
      <w:r w:rsidRPr="00062B15">
        <w:rPr>
          <w:rFonts w:ascii="Arial" w:eastAsia="Arial" w:hAnsi="Arial" w:cs="Arial"/>
          <w:sz w:val="20"/>
          <w:szCs w:val="20"/>
        </w:rPr>
        <w:t xml:space="preserve">Le nuove misure, applicabili a partire dal biennio 2026/2027, introducono una serie di </w:t>
      </w:r>
      <w:r w:rsidRPr="003D71EE">
        <w:rPr>
          <w:rFonts w:ascii="Arial" w:eastAsia="Arial" w:hAnsi="Arial" w:cs="Arial"/>
          <w:b/>
          <w:bCs/>
          <w:sz w:val="20"/>
          <w:szCs w:val="20"/>
        </w:rPr>
        <w:t>premialità e semplificazioni</w:t>
      </w:r>
      <w:r w:rsidRPr="00062B15">
        <w:rPr>
          <w:rFonts w:ascii="Arial" w:eastAsia="Arial" w:hAnsi="Arial" w:cs="Arial"/>
          <w:sz w:val="20"/>
          <w:szCs w:val="20"/>
        </w:rPr>
        <w:t xml:space="preserve"> dirette ai contribuenti che decideranno di “rinnovare” il patto con il Fisco.</w:t>
      </w:r>
    </w:p>
    <w:p w14:paraId="11EBDCA0" w14:textId="77777777" w:rsidR="004B5DEB" w:rsidRPr="007612B6" w:rsidRDefault="004B5DEB" w:rsidP="007612B6">
      <w:pPr>
        <w:shd w:val="clear" w:color="auto" w:fill="FFFFFF"/>
        <w:spacing w:line="300" w:lineRule="atLeast"/>
        <w:ind w:leftChars="0" w:left="0" w:firstLineChars="0" w:firstLine="0"/>
        <w:jc w:val="both"/>
        <w:rPr>
          <w:rFonts w:ascii="Arial" w:eastAsia="Arial" w:hAnsi="Arial" w:cs="Arial"/>
          <w:sz w:val="20"/>
          <w:szCs w:val="20"/>
        </w:rPr>
      </w:pPr>
      <w:r w:rsidRPr="007612B6">
        <w:rPr>
          <w:rFonts w:ascii="Arial" w:eastAsia="Arial" w:hAnsi="Arial" w:cs="Arial"/>
          <w:sz w:val="20"/>
          <w:szCs w:val="20"/>
        </w:rPr>
        <w:t>Ecco i punti chiave del provvedimento:</w:t>
      </w:r>
    </w:p>
    <w:p w14:paraId="207B91CF" w14:textId="7E288CFF" w:rsidR="004B5DEB" w:rsidRPr="007612B6" w:rsidRDefault="007612B6" w:rsidP="007612B6">
      <w:pPr>
        <w:pStyle w:val="Paragrafoelenco"/>
        <w:numPr>
          <w:ilvl w:val="0"/>
          <w:numId w:val="26"/>
        </w:numPr>
        <w:shd w:val="clear" w:color="auto" w:fill="FFFFFF"/>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r</w:t>
      </w:r>
      <w:r w:rsidR="004B5DEB" w:rsidRPr="007612B6">
        <w:rPr>
          <w:rFonts w:ascii="Arial" w:eastAsia="Arial" w:hAnsi="Arial" w:cs="Arial"/>
          <w:b/>
          <w:bCs/>
          <w:sz w:val="20"/>
          <w:szCs w:val="20"/>
        </w:rPr>
        <w:t>igore sui requisiti di accesso</w:t>
      </w:r>
      <w:r w:rsidR="004B5DEB" w:rsidRPr="007612B6">
        <w:rPr>
          <w:rFonts w:ascii="Arial" w:eastAsia="Arial" w:hAnsi="Arial" w:cs="Arial"/>
          <w:sz w:val="20"/>
          <w:szCs w:val="20"/>
        </w:rPr>
        <w:t>: il decreto stabilisce l’assoluta nullità, fin dall’origine, per le adesioni al concordato effettuate in assenza dei requisiti necessari o in presenza di cause di esclusione. Per le società e associazioni, l’accesso è vincolato all’applicazione del medesimo indice sintetico di affidabilità fiscale (ISA) da parte dei soci, pur con deroghe previste per l’ingresso di nuovi soci con redditi fino a 35.000 euro</w:t>
      </w:r>
      <w:r>
        <w:rPr>
          <w:rFonts w:ascii="Arial" w:eastAsia="Arial" w:hAnsi="Arial" w:cs="Arial"/>
          <w:sz w:val="20"/>
          <w:szCs w:val="20"/>
        </w:rPr>
        <w:t>;</w:t>
      </w:r>
    </w:p>
    <w:p w14:paraId="3F958811" w14:textId="152F467C" w:rsidR="004B5DEB" w:rsidRPr="007612B6" w:rsidRDefault="007612B6" w:rsidP="007612B6">
      <w:pPr>
        <w:pStyle w:val="Paragrafoelenco"/>
        <w:numPr>
          <w:ilvl w:val="0"/>
          <w:numId w:val="26"/>
        </w:numPr>
        <w:shd w:val="clear" w:color="auto" w:fill="FFFFFF"/>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p</w:t>
      </w:r>
      <w:r w:rsidR="004B5DEB" w:rsidRPr="007612B6">
        <w:rPr>
          <w:rFonts w:ascii="Arial" w:eastAsia="Arial" w:hAnsi="Arial" w:cs="Arial"/>
          <w:b/>
          <w:bCs/>
          <w:sz w:val="20"/>
          <w:szCs w:val="20"/>
        </w:rPr>
        <w:t>otenziamento dei benefici per il rinnovo</w:t>
      </w:r>
      <w:r w:rsidR="004B5DEB" w:rsidRPr="007612B6">
        <w:rPr>
          <w:rFonts w:ascii="Arial" w:eastAsia="Arial" w:hAnsi="Arial" w:cs="Arial"/>
          <w:sz w:val="20"/>
          <w:szCs w:val="20"/>
        </w:rPr>
        <w:t xml:space="preserve">: chi rinnova l’accordo per il biennio 2026/2027, dopo aver già aderito per 2024/2025, godrà di notevoli agevolazioni: l’innalzamento a 100.000 euro annui della soglia di esonero dal visto di conformità per compensazioni e rimborsi IVA, la </w:t>
      </w:r>
      <w:r>
        <w:rPr>
          <w:rFonts w:ascii="Arial" w:eastAsia="Arial" w:hAnsi="Arial" w:cs="Arial"/>
          <w:sz w:val="20"/>
          <w:szCs w:val="20"/>
        </w:rPr>
        <w:t>s</w:t>
      </w:r>
      <w:r w:rsidR="004B5DEB" w:rsidRPr="007612B6">
        <w:rPr>
          <w:rFonts w:ascii="Arial" w:eastAsia="Arial" w:hAnsi="Arial" w:cs="Arial"/>
          <w:sz w:val="20"/>
          <w:szCs w:val="20"/>
        </w:rPr>
        <w:t>oglia a 70.000 euro per l’esonero dal visto sulle imposte dirette e IRAP, l’anticipo di due anni dei termini di decadenza per l’attività di accertamento, l’esonero dal pagamento degli interessi sui versamenti rateali in scadenza relativi al biennio in questione</w:t>
      </w:r>
      <w:r>
        <w:rPr>
          <w:rFonts w:ascii="Arial" w:eastAsia="Arial" w:hAnsi="Arial" w:cs="Arial"/>
          <w:sz w:val="20"/>
          <w:szCs w:val="20"/>
        </w:rPr>
        <w:t>;</w:t>
      </w:r>
    </w:p>
    <w:p w14:paraId="6691D428" w14:textId="1BB236CD" w:rsidR="004B5DEB" w:rsidRPr="007612B6" w:rsidRDefault="007612B6" w:rsidP="007612B6">
      <w:pPr>
        <w:pStyle w:val="Paragrafoelenco"/>
        <w:numPr>
          <w:ilvl w:val="0"/>
          <w:numId w:val="26"/>
        </w:numPr>
        <w:shd w:val="clear" w:color="auto" w:fill="FFFFFF"/>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r</w:t>
      </w:r>
      <w:r w:rsidR="004B5DEB" w:rsidRPr="007612B6">
        <w:rPr>
          <w:rFonts w:ascii="Arial" w:eastAsia="Arial" w:hAnsi="Arial" w:cs="Arial"/>
          <w:b/>
          <w:bCs/>
          <w:sz w:val="20"/>
          <w:szCs w:val="20"/>
        </w:rPr>
        <w:t>avvedimento speciale 2020-2023</w:t>
      </w:r>
      <w:r w:rsidR="004B5DEB" w:rsidRPr="007612B6">
        <w:rPr>
          <w:rFonts w:ascii="Arial" w:eastAsia="Arial" w:hAnsi="Arial" w:cs="Arial"/>
          <w:sz w:val="20"/>
          <w:szCs w:val="20"/>
        </w:rPr>
        <w:t>: viene introdotta una misura straordinaria per i soggetti ISA che confermano il rinnovo al CPB</w:t>
      </w:r>
      <w:r>
        <w:rPr>
          <w:rFonts w:ascii="Arial" w:eastAsia="Arial" w:hAnsi="Arial" w:cs="Arial"/>
          <w:sz w:val="20"/>
          <w:szCs w:val="20"/>
        </w:rPr>
        <w:t>,</w:t>
      </w:r>
      <w:r w:rsidR="004B5DEB" w:rsidRPr="007612B6">
        <w:rPr>
          <w:rFonts w:ascii="Arial" w:eastAsia="Arial" w:hAnsi="Arial" w:cs="Arial"/>
          <w:sz w:val="20"/>
          <w:szCs w:val="20"/>
        </w:rPr>
        <w:t xml:space="preserve"> la possibilità di sanare i periodi d’imposta dal 2020 al 2023 tramite il versamento di un’imposta sostitutiva (aliquote dal 10% al 15% calcolate in base al punteggio ISA). Per gli anni legati alla pandemia (2020 e 2021) è prevista un’ulteriore riduzione dell’imposta del 30%</w:t>
      </w:r>
      <w:r>
        <w:rPr>
          <w:rFonts w:ascii="Arial" w:eastAsia="Arial" w:hAnsi="Arial" w:cs="Arial"/>
          <w:sz w:val="20"/>
          <w:szCs w:val="20"/>
        </w:rPr>
        <w:t>;</w:t>
      </w:r>
    </w:p>
    <w:p w14:paraId="0384F686" w14:textId="558C172C" w:rsidR="004B5DEB" w:rsidRPr="007612B6" w:rsidRDefault="007612B6" w:rsidP="007612B6">
      <w:pPr>
        <w:pStyle w:val="Paragrafoelenco"/>
        <w:numPr>
          <w:ilvl w:val="0"/>
          <w:numId w:val="26"/>
        </w:numPr>
        <w:shd w:val="clear" w:color="auto" w:fill="FFFFFF"/>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g</w:t>
      </w:r>
      <w:r w:rsidR="004B5DEB" w:rsidRPr="007612B6">
        <w:rPr>
          <w:rFonts w:ascii="Arial" w:eastAsia="Arial" w:hAnsi="Arial" w:cs="Arial"/>
          <w:b/>
          <w:bCs/>
          <w:sz w:val="20"/>
          <w:szCs w:val="20"/>
        </w:rPr>
        <w:t>estione degli errori e cause di decadenza</w:t>
      </w:r>
      <w:r w:rsidR="004B5DEB" w:rsidRPr="007612B6">
        <w:rPr>
          <w:rFonts w:ascii="Arial" w:eastAsia="Arial" w:hAnsi="Arial" w:cs="Arial"/>
          <w:sz w:val="20"/>
          <w:szCs w:val="20"/>
        </w:rPr>
        <w:t>: in caso di omissioni o errori che alterino i ricavi, è possibile integrare la dichiarazione per rideterminare il reddito concordato, sanando le sanzioni con il ravvedimento operoso. La decadenza dal concordato scatta se il reddito effettivo risulta superiore di almeno il 30% rispetto a quello concordato, ma la punibilità è esclusa in caso di pagamento integrale del debito</w:t>
      </w:r>
      <w:r>
        <w:rPr>
          <w:rFonts w:ascii="Arial" w:eastAsia="Arial" w:hAnsi="Arial" w:cs="Arial"/>
          <w:sz w:val="20"/>
          <w:szCs w:val="20"/>
        </w:rPr>
        <w:t>;</w:t>
      </w:r>
    </w:p>
    <w:p w14:paraId="4B54C9C6" w14:textId="3C2D8B43" w:rsidR="004B5DEB" w:rsidRPr="007612B6" w:rsidRDefault="007612B6" w:rsidP="007612B6">
      <w:pPr>
        <w:pStyle w:val="Paragrafoelenco"/>
        <w:numPr>
          <w:ilvl w:val="0"/>
          <w:numId w:val="26"/>
        </w:numPr>
        <w:shd w:val="clear" w:color="auto" w:fill="FFFFFF"/>
        <w:spacing w:after="0" w:line="300" w:lineRule="atLeast"/>
        <w:ind w:leftChars="0" w:firstLineChars="0"/>
        <w:jc w:val="both"/>
        <w:rPr>
          <w:rFonts w:ascii="Arial" w:eastAsia="Arial" w:hAnsi="Arial" w:cs="Arial"/>
          <w:sz w:val="20"/>
          <w:szCs w:val="20"/>
        </w:rPr>
      </w:pPr>
      <w:r>
        <w:rPr>
          <w:rFonts w:ascii="Arial" w:eastAsia="Arial" w:hAnsi="Arial" w:cs="Arial"/>
          <w:b/>
          <w:bCs/>
          <w:sz w:val="20"/>
          <w:szCs w:val="20"/>
        </w:rPr>
        <w:t>p</w:t>
      </w:r>
      <w:r w:rsidR="004B5DEB" w:rsidRPr="007612B6">
        <w:rPr>
          <w:rFonts w:ascii="Arial" w:eastAsia="Arial" w:hAnsi="Arial" w:cs="Arial"/>
          <w:b/>
          <w:bCs/>
          <w:sz w:val="20"/>
          <w:szCs w:val="20"/>
        </w:rPr>
        <w:t>roroga dei termini di accertamento</w:t>
      </w:r>
      <w:r w:rsidR="004B5DEB" w:rsidRPr="007612B6">
        <w:rPr>
          <w:rFonts w:ascii="Arial" w:eastAsia="Arial" w:hAnsi="Arial" w:cs="Arial"/>
          <w:sz w:val="20"/>
          <w:szCs w:val="20"/>
        </w:rPr>
        <w:t>: per coloro che si avvalgono del ravvedimento speciale, i termini per l’accertamento sull’annualità 2023 slittano al 31</w:t>
      </w:r>
      <w:r>
        <w:rPr>
          <w:rFonts w:ascii="Arial" w:eastAsia="Arial" w:hAnsi="Arial" w:cs="Arial"/>
          <w:sz w:val="20"/>
          <w:szCs w:val="20"/>
        </w:rPr>
        <w:t xml:space="preserve"> dicembre </w:t>
      </w:r>
      <w:r w:rsidR="004B5DEB" w:rsidRPr="007612B6">
        <w:rPr>
          <w:rFonts w:ascii="Arial" w:eastAsia="Arial" w:hAnsi="Arial" w:cs="Arial"/>
          <w:sz w:val="20"/>
          <w:szCs w:val="20"/>
        </w:rPr>
        <w:t>2029. Inoltre, per tutti coloro che rinnovano il CPB per il 2026/2027, i termini di accertamento in naturale scadenza al 31</w:t>
      </w:r>
      <w:r>
        <w:rPr>
          <w:rFonts w:ascii="Arial" w:eastAsia="Arial" w:hAnsi="Arial" w:cs="Arial"/>
          <w:sz w:val="20"/>
          <w:szCs w:val="20"/>
        </w:rPr>
        <w:t xml:space="preserve"> dicembre </w:t>
      </w:r>
      <w:r w:rsidR="004B5DEB" w:rsidRPr="007612B6">
        <w:rPr>
          <w:rFonts w:ascii="Arial" w:eastAsia="Arial" w:hAnsi="Arial" w:cs="Arial"/>
          <w:sz w:val="20"/>
          <w:szCs w:val="20"/>
        </w:rPr>
        <w:t>2026 subiscono una proroga generalizzata al 31 dicembre 2027.</w:t>
      </w:r>
    </w:p>
    <w:p w14:paraId="13A594D1" w14:textId="30828C0A" w:rsidR="007612B6" w:rsidRDefault="007612B6" w:rsidP="007612B6">
      <w:pPr>
        <w:spacing w:line="300" w:lineRule="atLeast"/>
        <w:ind w:left="0" w:hanging="2"/>
        <w:rPr>
          <w:rFonts w:ascii="Arial" w:eastAsia="Arial" w:hAnsi="Arial" w:cs="Arial"/>
          <w:sz w:val="20"/>
          <w:szCs w:val="20"/>
        </w:rPr>
      </w:pPr>
      <w:r>
        <w:rPr>
          <w:rFonts w:ascii="Arial" w:eastAsia="Arial" w:hAnsi="Arial" w:cs="Arial"/>
          <w:sz w:val="20"/>
          <w:szCs w:val="20"/>
        </w:rPr>
        <w:br w:type="page"/>
      </w:r>
    </w:p>
    <w:p w14:paraId="1B43254A" w14:textId="77777777" w:rsidR="00792D9F" w:rsidRPr="007612B6" w:rsidRDefault="00792D9F" w:rsidP="007612B6">
      <w:pPr>
        <w:widowControl w:val="0"/>
        <w:suppressAutoHyphens w:val="0"/>
        <w:spacing w:line="300" w:lineRule="atLeast"/>
        <w:ind w:left="0" w:hanging="2"/>
        <w:rPr>
          <w:rFonts w:ascii="Arial" w:eastAsia="Arial" w:hAnsi="Arial" w:cs="Arial"/>
          <w:sz w:val="20"/>
          <w:szCs w:val="20"/>
        </w:rPr>
      </w:pPr>
    </w:p>
    <w:tbl>
      <w:tblPr>
        <w:tblW w:w="0" w:type="auto"/>
        <w:tblInd w:w="108" w:type="dxa"/>
        <w:tblLook w:val="01E0" w:firstRow="1" w:lastRow="1" w:firstColumn="1" w:lastColumn="1" w:noHBand="0" w:noVBand="0"/>
      </w:tblPr>
      <w:tblGrid>
        <w:gridCol w:w="9530"/>
      </w:tblGrid>
      <w:tr w:rsidR="007612B6" w:rsidRPr="007612B6" w14:paraId="32C99E93" w14:textId="77777777" w:rsidTr="007A6EAC">
        <w:trPr>
          <w:trHeight w:val="567"/>
        </w:trPr>
        <w:tc>
          <w:tcPr>
            <w:tcW w:w="9670" w:type="dxa"/>
            <w:tcBorders>
              <w:bottom w:val="single" w:sz="4" w:space="0" w:color="366DB3"/>
            </w:tcBorders>
            <w:vAlign w:val="center"/>
          </w:tcPr>
          <w:p w14:paraId="147DA257" w14:textId="77777777" w:rsidR="007612B6" w:rsidRPr="007612B6" w:rsidRDefault="007612B6" w:rsidP="007612B6">
            <w:pPr>
              <w:pStyle w:val="titolodocumento"/>
              <w:suppressAutoHyphens w:val="0"/>
              <w:overflowPunct w:val="0"/>
              <w:autoSpaceDE w:val="0"/>
              <w:autoSpaceDN w:val="0"/>
              <w:adjustRightInd w:val="0"/>
              <w:spacing w:line="240" w:lineRule="auto"/>
              <w:ind w:leftChars="0" w:left="0" w:firstLineChars="0" w:firstLine="0"/>
              <w:textAlignment w:val="baseline"/>
              <w:outlineLvl w:val="9"/>
              <w:rPr>
                <w:rFonts w:ascii="Arial" w:hAnsi="Arial" w:cs="Arial"/>
                <w:imprint w:val="0"/>
                <w:color w:val="366DB3"/>
                <w:position w:val="0"/>
                <w:sz w:val="28"/>
              </w:rPr>
            </w:pPr>
            <w:r w:rsidRPr="007612B6">
              <w:rPr>
                <w:rFonts w:ascii="Arial" w:hAnsi="Arial" w:cs="Arial"/>
                <w:imprint w:val="0"/>
                <w:color w:val="366DB3"/>
                <w:position w:val="0"/>
                <w:sz w:val="28"/>
              </w:rPr>
              <w:t>PRINCIPALI SCADENZE</w:t>
            </w:r>
          </w:p>
        </w:tc>
      </w:tr>
    </w:tbl>
    <w:p w14:paraId="7BD5455D" w14:textId="77777777" w:rsidR="007612B6" w:rsidRPr="007612B6" w:rsidRDefault="007612B6" w:rsidP="007612B6">
      <w:pPr>
        <w:widowControl w:val="0"/>
        <w:suppressAutoHyphens w:val="0"/>
        <w:spacing w:line="300" w:lineRule="atLeast"/>
        <w:ind w:left="0" w:hanging="2"/>
        <w:rPr>
          <w:rFonts w:ascii="Arial" w:eastAsia="Arial" w:hAnsi="Arial" w:cs="Arial"/>
          <w:sz w:val="20"/>
          <w:szCs w:val="20"/>
        </w:rPr>
      </w:pP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8"/>
        <w:gridCol w:w="1702"/>
        <w:gridCol w:w="2204"/>
        <w:gridCol w:w="2313"/>
        <w:gridCol w:w="1578"/>
      </w:tblGrid>
      <w:tr w:rsidR="007612B6" w:rsidRPr="007612B6" w14:paraId="7A5970CE" w14:textId="77777777" w:rsidTr="007A6EAC">
        <w:trPr>
          <w:trHeight w:val="915"/>
          <w:jc w:val="center"/>
        </w:trPr>
        <w:tc>
          <w:tcPr>
            <w:tcW w:w="1968" w:type="dxa"/>
            <w:tcBorders>
              <w:top w:val="single" w:sz="4" w:space="0" w:color="auto"/>
              <w:left w:val="single" w:sz="4" w:space="0" w:color="auto"/>
              <w:bottom w:val="single" w:sz="4" w:space="0" w:color="auto"/>
              <w:right w:val="single" w:sz="4" w:space="0" w:color="auto"/>
            </w:tcBorders>
            <w:vAlign w:val="center"/>
            <w:hideMark/>
          </w:tcPr>
          <w:p w14:paraId="3FD30A6E"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jc w:val="center"/>
              <w:textAlignment w:val="baseline"/>
              <w:outlineLvl w:val="9"/>
              <w:rPr>
                <w:rFonts w:ascii="Arial" w:hAnsi="Arial" w:cs="Arial"/>
                <w:b/>
                <w:bCs/>
                <w:position w:val="0"/>
                <w:sz w:val="20"/>
                <w:szCs w:val="20"/>
                <w:lang w:val="en-US"/>
              </w:rPr>
            </w:pPr>
            <w:r w:rsidRPr="007612B6">
              <w:rPr>
                <w:rFonts w:ascii="Arial" w:hAnsi="Arial" w:cs="Arial"/>
                <w:b/>
                <w:bCs/>
                <w:position w:val="0"/>
                <w:sz w:val="20"/>
                <w:szCs w:val="20"/>
                <w:lang w:val="en-US"/>
              </w:rPr>
              <w:t xml:space="preserve">Data </w:t>
            </w:r>
            <w:proofErr w:type="spellStart"/>
            <w:r w:rsidRPr="007612B6">
              <w:rPr>
                <w:rFonts w:ascii="Arial" w:hAnsi="Arial" w:cs="Arial"/>
                <w:b/>
                <w:bCs/>
                <w:position w:val="0"/>
                <w:sz w:val="20"/>
                <w:szCs w:val="20"/>
                <w:lang w:val="en-US"/>
              </w:rPr>
              <w:t>scadenza</w:t>
            </w:r>
            <w:proofErr w:type="spellEnd"/>
          </w:p>
        </w:tc>
        <w:tc>
          <w:tcPr>
            <w:tcW w:w="1702" w:type="dxa"/>
            <w:tcBorders>
              <w:top w:val="single" w:sz="4" w:space="0" w:color="auto"/>
              <w:left w:val="single" w:sz="4" w:space="0" w:color="auto"/>
              <w:bottom w:val="single" w:sz="4" w:space="0" w:color="auto"/>
              <w:right w:val="single" w:sz="4" w:space="0" w:color="auto"/>
            </w:tcBorders>
            <w:vAlign w:val="center"/>
            <w:hideMark/>
          </w:tcPr>
          <w:p w14:paraId="1E43EB5D"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jc w:val="center"/>
              <w:textAlignment w:val="baseline"/>
              <w:outlineLvl w:val="9"/>
              <w:rPr>
                <w:rFonts w:ascii="Arial" w:hAnsi="Arial" w:cs="Arial"/>
                <w:b/>
                <w:bCs/>
                <w:position w:val="0"/>
                <w:sz w:val="20"/>
                <w:szCs w:val="20"/>
                <w:lang w:val="en-US"/>
              </w:rPr>
            </w:pPr>
            <w:proofErr w:type="spellStart"/>
            <w:r w:rsidRPr="007612B6">
              <w:rPr>
                <w:rFonts w:ascii="Arial" w:hAnsi="Arial" w:cs="Arial"/>
                <w:b/>
                <w:bCs/>
                <w:position w:val="0"/>
                <w:sz w:val="20"/>
                <w:szCs w:val="20"/>
                <w:lang w:val="en-US"/>
              </w:rPr>
              <w:t>Ambito</w:t>
            </w:r>
            <w:proofErr w:type="spellEnd"/>
          </w:p>
        </w:tc>
        <w:tc>
          <w:tcPr>
            <w:tcW w:w="2204" w:type="dxa"/>
            <w:tcBorders>
              <w:top w:val="single" w:sz="4" w:space="0" w:color="auto"/>
              <w:left w:val="single" w:sz="4" w:space="0" w:color="auto"/>
              <w:bottom w:val="single" w:sz="4" w:space="0" w:color="auto"/>
              <w:right w:val="single" w:sz="4" w:space="0" w:color="auto"/>
            </w:tcBorders>
            <w:vAlign w:val="center"/>
            <w:hideMark/>
          </w:tcPr>
          <w:p w14:paraId="2EA91A9D"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jc w:val="center"/>
              <w:textAlignment w:val="baseline"/>
              <w:outlineLvl w:val="9"/>
              <w:rPr>
                <w:rFonts w:ascii="Arial" w:hAnsi="Arial" w:cs="Arial"/>
                <w:b/>
                <w:bCs/>
                <w:position w:val="0"/>
                <w:sz w:val="20"/>
                <w:szCs w:val="20"/>
                <w:lang w:val="en-US"/>
              </w:rPr>
            </w:pPr>
            <w:proofErr w:type="spellStart"/>
            <w:r w:rsidRPr="007612B6">
              <w:rPr>
                <w:rFonts w:ascii="Arial" w:hAnsi="Arial" w:cs="Arial"/>
                <w:b/>
                <w:bCs/>
                <w:position w:val="0"/>
                <w:sz w:val="20"/>
                <w:szCs w:val="20"/>
                <w:lang w:val="en-US"/>
              </w:rPr>
              <w:t>Attività</w:t>
            </w:r>
            <w:proofErr w:type="spellEnd"/>
          </w:p>
        </w:tc>
        <w:tc>
          <w:tcPr>
            <w:tcW w:w="2313" w:type="dxa"/>
            <w:tcBorders>
              <w:top w:val="single" w:sz="4" w:space="0" w:color="auto"/>
              <w:left w:val="single" w:sz="4" w:space="0" w:color="auto"/>
              <w:bottom w:val="single" w:sz="4" w:space="0" w:color="auto"/>
              <w:right w:val="single" w:sz="4" w:space="0" w:color="auto"/>
            </w:tcBorders>
            <w:vAlign w:val="center"/>
            <w:hideMark/>
          </w:tcPr>
          <w:p w14:paraId="286ECBFC"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jc w:val="center"/>
              <w:textAlignment w:val="baseline"/>
              <w:outlineLvl w:val="9"/>
              <w:rPr>
                <w:rFonts w:ascii="Arial" w:hAnsi="Arial" w:cs="Arial"/>
                <w:b/>
                <w:bCs/>
                <w:position w:val="0"/>
                <w:sz w:val="20"/>
                <w:szCs w:val="20"/>
                <w:lang w:val="en-US"/>
              </w:rPr>
            </w:pPr>
            <w:proofErr w:type="spellStart"/>
            <w:r w:rsidRPr="007612B6">
              <w:rPr>
                <w:rFonts w:ascii="Arial" w:hAnsi="Arial" w:cs="Arial"/>
                <w:b/>
                <w:bCs/>
                <w:position w:val="0"/>
                <w:sz w:val="20"/>
                <w:szCs w:val="20"/>
                <w:lang w:val="en-US"/>
              </w:rPr>
              <w:t>Soggetti</w:t>
            </w:r>
            <w:proofErr w:type="spellEnd"/>
            <w:r w:rsidRPr="007612B6">
              <w:rPr>
                <w:rFonts w:ascii="Arial" w:hAnsi="Arial" w:cs="Arial"/>
                <w:b/>
                <w:bCs/>
                <w:position w:val="0"/>
                <w:sz w:val="20"/>
                <w:szCs w:val="20"/>
                <w:lang w:val="en-US"/>
              </w:rPr>
              <w:t xml:space="preserve"> obbligati</w:t>
            </w:r>
          </w:p>
        </w:tc>
        <w:tc>
          <w:tcPr>
            <w:tcW w:w="1578" w:type="dxa"/>
            <w:tcBorders>
              <w:top w:val="single" w:sz="4" w:space="0" w:color="auto"/>
              <w:left w:val="single" w:sz="4" w:space="0" w:color="auto"/>
              <w:bottom w:val="single" w:sz="4" w:space="0" w:color="auto"/>
              <w:right w:val="single" w:sz="4" w:space="0" w:color="auto"/>
            </w:tcBorders>
            <w:vAlign w:val="center"/>
            <w:hideMark/>
          </w:tcPr>
          <w:p w14:paraId="3D9438F2"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jc w:val="center"/>
              <w:textAlignment w:val="baseline"/>
              <w:outlineLvl w:val="9"/>
              <w:rPr>
                <w:rFonts w:ascii="Arial" w:hAnsi="Arial" w:cs="Arial"/>
                <w:b/>
                <w:bCs/>
                <w:position w:val="0"/>
                <w:sz w:val="20"/>
                <w:szCs w:val="20"/>
                <w:lang w:val="en-US"/>
              </w:rPr>
            </w:pPr>
            <w:proofErr w:type="spellStart"/>
            <w:r w:rsidRPr="007612B6">
              <w:rPr>
                <w:rFonts w:ascii="Arial" w:hAnsi="Arial" w:cs="Arial"/>
                <w:b/>
                <w:bCs/>
                <w:position w:val="0"/>
                <w:sz w:val="20"/>
                <w:szCs w:val="20"/>
                <w:lang w:val="en-US"/>
              </w:rPr>
              <w:t>Modalità</w:t>
            </w:r>
            <w:proofErr w:type="spellEnd"/>
          </w:p>
        </w:tc>
      </w:tr>
      <w:tr w:rsidR="007612B6" w:rsidRPr="007612B6" w14:paraId="0C27CDE7" w14:textId="77777777" w:rsidTr="007A6EAC">
        <w:trPr>
          <w:trHeight w:val="900"/>
          <w:jc w:val="center"/>
        </w:trPr>
        <w:tc>
          <w:tcPr>
            <w:tcW w:w="1968" w:type="dxa"/>
            <w:tcBorders>
              <w:top w:val="single" w:sz="4" w:space="0" w:color="auto"/>
              <w:left w:val="single" w:sz="4" w:space="0" w:color="auto"/>
              <w:bottom w:val="single" w:sz="4" w:space="0" w:color="auto"/>
              <w:right w:val="single" w:sz="4" w:space="0" w:color="auto"/>
            </w:tcBorders>
            <w:noWrap/>
            <w:hideMark/>
          </w:tcPr>
          <w:p w14:paraId="54498752"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textAlignment w:val="baseline"/>
              <w:outlineLvl w:val="9"/>
              <w:rPr>
                <w:rFonts w:ascii="Arial" w:hAnsi="Arial" w:cs="Arial"/>
                <w:b/>
                <w:bCs/>
                <w:position w:val="0"/>
                <w:sz w:val="20"/>
                <w:szCs w:val="20"/>
              </w:rPr>
            </w:pPr>
            <w:r w:rsidRPr="007612B6">
              <w:rPr>
                <w:rFonts w:ascii="Arial" w:hAnsi="Arial" w:cs="Arial"/>
                <w:b/>
                <w:bCs/>
                <w:position w:val="0"/>
                <w:sz w:val="20"/>
                <w:szCs w:val="20"/>
              </w:rPr>
              <w:t>Mercoledì 30 settembre 2026</w:t>
            </w:r>
          </w:p>
        </w:tc>
        <w:tc>
          <w:tcPr>
            <w:tcW w:w="1702" w:type="dxa"/>
            <w:tcBorders>
              <w:top w:val="single" w:sz="4" w:space="0" w:color="auto"/>
              <w:left w:val="single" w:sz="4" w:space="0" w:color="auto"/>
              <w:bottom w:val="single" w:sz="4" w:space="0" w:color="auto"/>
              <w:right w:val="single" w:sz="4" w:space="0" w:color="auto"/>
            </w:tcBorders>
            <w:hideMark/>
          </w:tcPr>
          <w:p w14:paraId="23D931A1"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textAlignment w:val="baseline"/>
              <w:outlineLvl w:val="9"/>
              <w:rPr>
                <w:rFonts w:ascii="Arial" w:hAnsi="Arial" w:cs="Arial"/>
                <w:b/>
                <w:bCs/>
                <w:position w:val="0"/>
                <w:sz w:val="20"/>
                <w:szCs w:val="20"/>
              </w:rPr>
            </w:pPr>
            <w:r w:rsidRPr="007612B6">
              <w:rPr>
                <w:rFonts w:ascii="Arial" w:hAnsi="Arial" w:cs="Arial"/>
                <w:b/>
                <w:bCs/>
                <w:position w:val="0"/>
                <w:sz w:val="20"/>
                <w:szCs w:val="20"/>
              </w:rPr>
              <w:t>Comunicazione dati liquidazioni periodiche IVA – LIPE</w:t>
            </w:r>
          </w:p>
        </w:tc>
        <w:tc>
          <w:tcPr>
            <w:tcW w:w="2204" w:type="dxa"/>
            <w:tcBorders>
              <w:top w:val="single" w:sz="4" w:space="0" w:color="auto"/>
              <w:left w:val="single" w:sz="4" w:space="0" w:color="auto"/>
              <w:bottom w:val="single" w:sz="4" w:space="0" w:color="auto"/>
              <w:right w:val="single" w:sz="4" w:space="0" w:color="auto"/>
            </w:tcBorders>
            <w:hideMark/>
          </w:tcPr>
          <w:p w14:paraId="5E51A2FC"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textAlignment w:val="baseline"/>
              <w:outlineLvl w:val="9"/>
              <w:rPr>
                <w:rFonts w:ascii="Arial" w:hAnsi="Arial" w:cs="Arial"/>
                <w:position w:val="0"/>
                <w:sz w:val="20"/>
                <w:szCs w:val="20"/>
              </w:rPr>
            </w:pPr>
            <w:r w:rsidRPr="007612B6">
              <w:rPr>
                <w:rFonts w:ascii="Arial" w:hAnsi="Arial" w:cs="Arial"/>
                <w:position w:val="0"/>
                <w:sz w:val="20"/>
                <w:szCs w:val="20"/>
              </w:rPr>
              <w:t>Comunicazione dei dati delle liquidazioni periodiche IVA effettuate nel secondo trimestre.</w:t>
            </w:r>
          </w:p>
        </w:tc>
        <w:tc>
          <w:tcPr>
            <w:tcW w:w="2313" w:type="dxa"/>
            <w:tcBorders>
              <w:top w:val="single" w:sz="4" w:space="0" w:color="auto"/>
              <w:left w:val="single" w:sz="4" w:space="0" w:color="auto"/>
              <w:bottom w:val="single" w:sz="4" w:space="0" w:color="auto"/>
              <w:right w:val="single" w:sz="4" w:space="0" w:color="auto"/>
            </w:tcBorders>
            <w:hideMark/>
          </w:tcPr>
          <w:p w14:paraId="7CE691E8"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textAlignment w:val="baseline"/>
              <w:outlineLvl w:val="9"/>
              <w:rPr>
                <w:rFonts w:ascii="Arial" w:hAnsi="Arial" w:cs="Arial"/>
                <w:position w:val="0"/>
                <w:sz w:val="20"/>
                <w:szCs w:val="20"/>
              </w:rPr>
            </w:pPr>
            <w:r w:rsidRPr="007612B6">
              <w:rPr>
                <w:rFonts w:ascii="Arial" w:hAnsi="Arial" w:cs="Arial"/>
                <w:position w:val="0"/>
                <w:sz w:val="20"/>
                <w:szCs w:val="20"/>
              </w:rPr>
              <w:t>Soggetti passivi IVA obbligati alla presentazione della dichiarazione IVA o all’effettuazione delle liquidazioni periodiche IVA.</w:t>
            </w:r>
          </w:p>
        </w:tc>
        <w:tc>
          <w:tcPr>
            <w:tcW w:w="1578" w:type="dxa"/>
            <w:tcBorders>
              <w:top w:val="single" w:sz="4" w:space="0" w:color="auto"/>
              <w:left w:val="single" w:sz="4" w:space="0" w:color="auto"/>
              <w:bottom w:val="single" w:sz="4" w:space="0" w:color="auto"/>
              <w:right w:val="single" w:sz="4" w:space="0" w:color="auto"/>
            </w:tcBorders>
            <w:hideMark/>
          </w:tcPr>
          <w:p w14:paraId="347874DB" w14:textId="77777777" w:rsidR="007612B6" w:rsidRPr="007612B6" w:rsidRDefault="007612B6" w:rsidP="007612B6">
            <w:pPr>
              <w:suppressAutoHyphens w:val="0"/>
              <w:overflowPunct w:val="0"/>
              <w:autoSpaceDE w:val="0"/>
              <w:autoSpaceDN w:val="0"/>
              <w:adjustRightInd w:val="0"/>
              <w:spacing w:line="300" w:lineRule="atLeast"/>
              <w:ind w:leftChars="0" w:left="0" w:firstLineChars="0" w:firstLine="0"/>
              <w:textAlignment w:val="baseline"/>
              <w:outlineLvl w:val="9"/>
              <w:rPr>
                <w:rFonts w:ascii="Arial" w:hAnsi="Arial" w:cs="Arial"/>
                <w:position w:val="0"/>
                <w:sz w:val="20"/>
                <w:szCs w:val="20"/>
              </w:rPr>
            </w:pPr>
            <w:r w:rsidRPr="007612B6">
              <w:rPr>
                <w:rFonts w:ascii="Arial" w:hAnsi="Arial" w:cs="Arial"/>
                <w:position w:val="0"/>
                <w:sz w:val="20"/>
                <w:szCs w:val="20"/>
              </w:rPr>
              <w:t>Telematica</w:t>
            </w:r>
          </w:p>
        </w:tc>
      </w:tr>
    </w:tbl>
    <w:p w14:paraId="6E12D050" w14:textId="77777777" w:rsidR="007612B6" w:rsidRPr="00521692" w:rsidRDefault="007612B6" w:rsidP="00521692">
      <w:pPr>
        <w:widowControl w:val="0"/>
        <w:suppressAutoHyphens w:val="0"/>
        <w:spacing w:line="300" w:lineRule="atLeast"/>
        <w:ind w:left="0" w:hanging="2"/>
        <w:rPr>
          <w:rFonts w:ascii="Arial" w:eastAsia="Arial" w:hAnsi="Arial" w:cs="Arial"/>
          <w:sz w:val="20"/>
          <w:szCs w:val="20"/>
        </w:rPr>
      </w:pPr>
    </w:p>
    <w:p w14:paraId="524ADF21" w14:textId="77777777" w:rsidR="00792D9F" w:rsidRPr="00521692" w:rsidRDefault="00792D9F" w:rsidP="00521692">
      <w:pPr>
        <w:widowControl w:val="0"/>
        <w:suppressAutoHyphens w:val="0"/>
        <w:spacing w:line="300" w:lineRule="atLeast"/>
        <w:ind w:leftChars="0" w:left="0" w:firstLineChars="0" w:firstLine="0"/>
        <w:rPr>
          <w:rFonts w:ascii="Arial" w:eastAsia="Arial" w:hAnsi="Arial" w:cs="Arial"/>
          <w:sz w:val="20"/>
          <w:szCs w:val="20"/>
        </w:rPr>
      </w:pPr>
    </w:p>
    <w:sectPr w:rsidR="00792D9F" w:rsidRPr="00521692">
      <w:headerReference w:type="default" r:id="rId11"/>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EE257" w14:textId="77777777" w:rsidR="00F202AC" w:rsidRDefault="00F202AC">
      <w:pPr>
        <w:spacing w:line="240" w:lineRule="auto"/>
        <w:ind w:left="0" w:hanging="2"/>
      </w:pPr>
      <w:r>
        <w:separator/>
      </w:r>
    </w:p>
  </w:endnote>
  <w:endnote w:type="continuationSeparator" w:id="0">
    <w:p w14:paraId="74E06442" w14:textId="77777777" w:rsidR="00F202AC" w:rsidRDefault="00F202A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A33845D-FF90-456F-92D1-C2670A32DEE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511FE8E-9089-404B-9E3E-D13C048AC9AC}"/>
    <w:embedBold r:id="rId3" w:fontKey="{1197B1D3-C3F6-4BFE-B12B-38C7B2533C1A}"/>
    <w:embedBoldItalic r:id="rId4" w:fontKey="{AF03EC9F-A2B1-4103-902D-4FB7B5410749}"/>
  </w:font>
  <w:font w:name="Helvetica">
    <w:panose1 w:val="020B0604020202020204"/>
    <w:charset w:val="00"/>
    <w:family w:val="swiss"/>
    <w:pitch w:val="variable"/>
    <w:sig w:usb0="E0002EFF" w:usb1="C000785B" w:usb2="00000009" w:usb3="00000000" w:csb0="000001FF" w:csb1="00000000"/>
    <w:embedRegular r:id="rId5" w:fontKey="{ACDB229D-5217-41AA-B08F-591481FD1B58}"/>
    <w:embedItalic r:id="rId6" w:fontKey="{FBD4524B-63B3-4D8C-B12C-D44040D09592}"/>
    <w:embedBoldItalic r:id="rId7" w:fontKey="{643732B4-BF73-4401-9EF1-9B6874FC1AFE}"/>
  </w:font>
  <w:font w:name="Georgia">
    <w:panose1 w:val="02040502050405020303"/>
    <w:charset w:val="00"/>
    <w:family w:val="roman"/>
    <w:pitch w:val="variable"/>
    <w:sig w:usb0="00000287" w:usb1="00000000" w:usb2="00000000" w:usb3="00000000" w:csb0="0000009F" w:csb1="00000000"/>
    <w:embedRegular r:id="rId8" w:fontKey="{2EA3E223-A623-4E18-8C60-5245A7BEE3D7}"/>
    <w:embedBold r:id="rId9" w:fontKey="{2B968C43-309A-4573-826F-0778E96BE2A1}"/>
    <w:embedItalic r:id="rId10" w:fontKey="{88E99D0A-FEF1-4127-B64C-2162C70A5600}"/>
  </w:font>
  <w:font w:name="Bookman Old Style">
    <w:panose1 w:val="02050604050505020204"/>
    <w:charset w:val="00"/>
    <w:family w:val="roman"/>
    <w:pitch w:val="variable"/>
    <w:sig w:usb0="00000287" w:usb1="00000000" w:usb2="00000000" w:usb3="00000000" w:csb0="0000009F" w:csb1="00000000"/>
    <w:embedBold r:id="rId11" w:fontKey="{47AC11F2-3A4D-4D5F-874B-9A50BF701A6B}"/>
    <w:embedItalic r:id="rId12" w:fontKey="{D4824ADE-A4E4-451B-A6A4-780DFC1D1955}"/>
    <w:embedBoldItalic r:id="rId13" w:fontKey="{FC98053C-DBC2-4D55-B848-22192A08AE41}"/>
  </w:font>
  <w:font w:name="Eurostile">
    <w:charset w:val="00"/>
    <w:family w:val="swiss"/>
    <w:pitch w:val="variable"/>
    <w:sig w:usb0="00000003" w:usb1="00000000" w:usb2="00000000" w:usb3="00000000" w:csb0="00000001" w:csb1="00000000"/>
    <w:embedRegular r:id="rId14" w:fontKey="{B1EB8AAB-EF68-4B4B-81C9-1E4DF85ECE6B}"/>
  </w:font>
  <w:font w:name="Tahoma">
    <w:panose1 w:val="020B0604030504040204"/>
    <w:charset w:val="00"/>
    <w:family w:val="swiss"/>
    <w:pitch w:val="variable"/>
    <w:sig w:usb0="E1002EFF" w:usb1="C000605B" w:usb2="00000029" w:usb3="00000000" w:csb0="000101FF" w:csb1="00000000"/>
    <w:embedRegular r:id="rId15" w:fontKey="{C2D5A962-DC80-470C-A67D-67A3B420E33A}"/>
  </w:font>
  <w:font w:name="Century Gothic">
    <w:panose1 w:val="020B0502020202020204"/>
    <w:charset w:val="00"/>
    <w:family w:val="swiss"/>
    <w:pitch w:val="variable"/>
    <w:sig w:usb0="00000287" w:usb1="00000000" w:usb2="00000000" w:usb3="00000000" w:csb0="0000009F" w:csb1="00000000"/>
    <w:embedRegular r:id="rId16" w:fontKey="{9FDEB71F-9968-4EA0-9DD9-233445FFE691}"/>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embedRegular r:id="rId17" w:fontKey="{B29B04A5-CA37-42FD-BC4B-BA50340854CC}"/>
  </w:font>
  <w:font w:name="Cambria">
    <w:panose1 w:val="02040503050406030204"/>
    <w:charset w:val="00"/>
    <w:family w:val="roman"/>
    <w:pitch w:val="variable"/>
    <w:sig w:usb0="E00006FF" w:usb1="420024FF" w:usb2="02000000" w:usb3="00000000" w:csb0="0000019F" w:csb1="00000000"/>
    <w:embedRegular r:id="rId18" w:fontKey="{49528D28-136F-49C7-8B1A-2520E6F14A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9240" w14:textId="77777777" w:rsidR="00792D9F" w:rsidRDefault="00EB53B2">
    <w:pPr>
      <w:pBdr>
        <w:top w:val="nil"/>
        <w:left w:val="nil"/>
        <w:bottom w:val="nil"/>
        <w:right w:val="nil"/>
        <w:between w:val="nil"/>
      </w:pBdr>
      <w:tabs>
        <w:tab w:val="center" w:pos="4819"/>
        <w:tab w:val="right" w:pos="9638"/>
      </w:tabs>
      <w:spacing w:line="240" w:lineRule="auto"/>
      <w:ind w:left="0" w:hanging="2"/>
      <w:jc w:val="right"/>
      <w:rPr>
        <w:rFonts w:ascii="Helvetica Neue" w:eastAsia="Helvetica Neue" w:hAnsi="Helvetica Neue" w:cs="Helvetica Neue"/>
        <w:color w:val="C0C0C0"/>
        <w:sz w:val="18"/>
        <w:szCs w:val="18"/>
      </w:rPr>
    </w:pPr>
    <w:r>
      <w:rPr>
        <w:rFonts w:ascii="Helvetica Neue" w:eastAsia="Helvetica Neue" w:hAnsi="Helvetica Neue" w:cs="Helvetica Neue"/>
        <w:color w:val="C0C0C0"/>
        <w:sz w:val="18"/>
        <w:szCs w:val="18"/>
      </w:rPr>
      <w:fldChar w:fldCharType="begin"/>
    </w:r>
    <w:r>
      <w:rPr>
        <w:rFonts w:ascii="Helvetica Neue" w:eastAsia="Helvetica Neue" w:hAnsi="Helvetica Neue" w:cs="Helvetica Neue"/>
        <w:color w:val="C0C0C0"/>
        <w:sz w:val="18"/>
        <w:szCs w:val="18"/>
      </w:rPr>
      <w:instrText>PAGE</w:instrText>
    </w:r>
    <w:r>
      <w:rPr>
        <w:rFonts w:ascii="Helvetica Neue" w:eastAsia="Helvetica Neue" w:hAnsi="Helvetica Neue" w:cs="Helvetica Neue"/>
        <w:color w:val="C0C0C0"/>
        <w:sz w:val="18"/>
        <w:szCs w:val="18"/>
      </w:rPr>
      <w:fldChar w:fldCharType="separate"/>
    </w:r>
    <w:r>
      <w:rPr>
        <w:rFonts w:ascii="Helvetica Neue" w:eastAsia="Helvetica Neue" w:hAnsi="Helvetica Neue" w:cs="Helvetica Neue"/>
        <w:color w:val="C0C0C0"/>
        <w:sz w:val="18"/>
        <w:szCs w:val="18"/>
      </w:rPr>
      <w:fldChar w:fldCharType="end"/>
    </w:r>
  </w:p>
  <w:p w14:paraId="049B58B3" w14:textId="77777777" w:rsidR="00792D9F" w:rsidRDefault="00792D9F">
    <w:pPr>
      <w:pBdr>
        <w:top w:val="nil"/>
        <w:left w:val="nil"/>
        <w:bottom w:val="nil"/>
        <w:right w:val="nil"/>
        <w:between w:val="nil"/>
      </w:pBdr>
      <w:tabs>
        <w:tab w:val="center" w:pos="4819"/>
        <w:tab w:val="right" w:pos="9638"/>
      </w:tabs>
      <w:spacing w:line="240" w:lineRule="auto"/>
      <w:ind w:left="0" w:right="360" w:hanging="2"/>
      <w:rPr>
        <w:rFonts w:ascii="Helvetica Neue" w:eastAsia="Helvetica Neue" w:hAnsi="Helvetica Neue" w:cs="Helvetica Neue"/>
        <w:color w:val="C0C0C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511E" w14:textId="77777777" w:rsidR="00792D9F" w:rsidRDefault="00EB53B2">
    <w:pPr>
      <w:pBdr>
        <w:top w:val="nil"/>
        <w:left w:val="nil"/>
        <w:bottom w:val="nil"/>
        <w:right w:val="nil"/>
        <w:between w:val="nil"/>
      </w:pBdr>
      <w:tabs>
        <w:tab w:val="center" w:pos="4819"/>
        <w:tab w:val="right" w:pos="9638"/>
      </w:tabs>
      <w:spacing w:before="380" w:line="240" w:lineRule="auto"/>
      <w:ind w:left="0" w:hanging="2"/>
      <w:jc w:val="right"/>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fldChar w:fldCharType="begin"/>
    </w:r>
    <w:r>
      <w:rPr>
        <w:rFonts w:ascii="Helvetica Neue" w:eastAsia="Helvetica Neue" w:hAnsi="Helvetica Neue" w:cs="Helvetica Neue"/>
        <w:color w:val="000000"/>
        <w:sz w:val="18"/>
        <w:szCs w:val="18"/>
      </w:rPr>
      <w:instrText>PAGE</w:instrText>
    </w:r>
    <w:r>
      <w:rPr>
        <w:rFonts w:ascii="Helvetica Neue" w:eastAsia="Helvetica Neue" w:hAnsi="Helvetica Neue" w:cs="Helvetica Neue"/>
        <w:color w:val="000000"/>
        <w:sz w:val="18"/>
        <w:szCs w:val="18"/>
      </w:rPr>
      <w:fldChar w:fldCharType="separate"/>
    </w:r>
    <w:r>
      <w:rPr>
        <w:rFonts w:ascii="Helvetica Neue" w:eastAsia="Helvetica Neue" w:hAnsi="Helvetica Neue" w:cs="Helvetica Neue"/>
        <w:noProof/>
        <w:color w:val="000000"/>
        <w:sz w:val="18"/>
        <w:szCs w:val="18"/>
      </w:rPr>
      <w:t>1</w:t>
    </w:r>
    <w:r>
      <w:rPr>
        <w:rFonts w:ascii="Helvetica Neue" w:eastAsia="Helvetica Neue" w:hAnsi="Helvetica Neue" w:cs="Helvetica Neue"/>
        <w:color w:val="000000"/>
        <w:sz w:val="18"/>
        <w:szCs w:val="18"/>
      </w:rPr>
      <w:fldChar w:fldCharType="end"/>
    </w:r>
  </w:p>
  <w:p w14:paraId="0381CDFC" w14:textId="77777777" w:rsidR="00792D9F" w:rsidRDefault="00EB53B2">
    <w:pPr>
      <w:pBdr>
        <w:top w:val="nil"/>
        <w:left w:val="nil"/>
        <w:bottom w:val="nil"/>
        <w:right w:val="nil"/>
        <w:between w:val="nil"/>
      </w:pBdr>
      <w:tabs>
        <w:tab w:val="center" w:pos="4819"/>
        <w:tab w:val="right" w:pos="9638"/>
      </w:tabs>
      <w:spacing w:line="240" w:lineRule="auto"/>
      <w:ind w:left="0" w:right="360" w:hanging="2"/>
      <w:rPr>
        <w:rFonts w:ascii="Helvetica Neue" w:eastAsia="Helvetica Neue" w:hAnsi="Helvetica Neue" w:cs="Helvetica Neue"/>
        <w:color w:val="C0C0C0"/>
        <w:sz w:val="16"/>
        <w:szCs w:val="16"/>
      </w:rPr>
    </w:pPr>
    <w:r>
      <w:rPr>
        <w:rFonts w:ascii="Helvetica Neue" w:eastAsia="Helvetica Neue" w:hAnsi="Helvetica Neue" w:cs="Helvetica Neue"/>
        <w:noProof/>
        <w:color w:val="C0C0C0"/>
        <w:sz w:val="16"/>
        <w:szCs w:val="16"/>
      </w:rPr>
      <w:drawing>
        <wp:inline distT="0" distB="0" distL="114300" distR="114300" wp14:anchorId="691D9C2F" wp14:editId="2FFDB4CE">
          <wp:extent cx="2479040" cy="44577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79040" cy="44577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E7E7" w14:textId="77777777" w:rsidR="00F202AC" w:rsidRDefault="00F202AC">
      <w:pPr>
        <w:spacing w:line="240" w:lineRule="auto"/>
        <w:ind w:left="0" w:hanging="2"/>
      </w:pPr>
      <w:r>
        <w:separator/>
      </w:r>
    </w:p>
  </w:footnote>
  <w:footnote w:type="continuationSeparator" w:id="0">
    <w:p w14:paraId="21EE8BC9" w14:textId="77777777" w:rsidR="00F202AC" w:rsidRDefault="00F202A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0DF8" w14:textId="77777777" w:rsidR="00792D9F" w:rsidRDefault="00EB53B2">
    <w:pPr>
      <w:pBdr>
        <w:top w:val="nil"/>
        <w:left w:val="nil"/>
        <w:bottom w:val="nil"/>
        <w:right w:val="nil"/>
        <w:between w:val="nil"/>
      </w:pBdr>
      <w:tabs>
        <w:tab w:val="center" w:pos="4819"/>
        <w:tab w:val="right" w:pos="9638"/>
      </w:tabs>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[inserire logo e/o intestazione dello studio]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D73F" w14:textId="77777777" w:rsidR="00792D9F" w:rsidRDefault="00792D9F">
    <w:pPr>
      <w:pBdr>
        <w:top w:val="nil"/>
        <w:left w:val="nil"/>
        <w:bottom w:val="nil"/>
        <w:right w:val="nil"/>
        <w:between w:val="nil"/>
      </w:pBdr>
      <w:tabs>
        <w:tab w:val="center" w:pos="4819"/>
        <w:tab w:val="right" w:pos="9638"/>
      </w:tabs>
      <w:spacing w:line="240" w:lineRule="auto"/>
      <w:ind w:left="0" w:hanging="2"/>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AC7"/>
    <w:multiLevelType w:val="multilevel"/>
    <w:tmpl w:val="542E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31FCA"/>
    <w:multiLevelType w:val="multilevel"/>
    <w:tmpl w:val="7AF8E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A1FFA"/>
    <w:multiLevelType w:val="hybridMultilevel"/>
    <w:tmpl w:val="075CC45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AA934C8"/>
    <w:multiLevelType w:val="multilevel"/>
    <w:tmpl w:val="2202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56D66"/>
    <w:multiLevelType w:val="multilevel"/>
    <w:tmpl w:val="7EDC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B1E93"/>
    <w:multiLevelType w:val="multilevel"/>
    <w:tmpl w:val="542E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15DE9"/>
    <w:multiLevelType w:val="multilevel"/>
    <w:tmpl w:val="197885CA"/>
    <w:lvl w:ilvl="0">
      <w:start w:val="1"/>
      <w:numFmt w:val="bullet"/>
      <w:pStyle w:val="elencopuntato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2587BC6"/>
    <w:multiLevelType w:val="multilevel"/>
    <w:tmpl w:val="5D3E8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EE647C"/>
    <w:multiLevelType w:val="hybridMultilevel"/>
    <w:tmpl w:val="52527F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112563D"/>
    <w:multiLevelType w:val="hybridMultilevel"/>
    <w:tmpl w:val="44C237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9351204"/>
    <w:multiLevelType w:val="hybridMultilevel"/>
    <w:tmpl w:val="A59022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ABD4BAB"/>
    <w:multiLevelType w:val="multilevel"/>
    <w:tmpl w:val="260E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F2D07"/>
    <w:multiLevelType w:val="multilevel"/>
    <w:tmpl w:val="51443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E6544D"/>
    <w:multiLevelType w:val="hybridMultilevel"/>
    <w:tmpl w:val="893405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1D74DD8"/>
    <w:multiLevelType w:val="multilevel"/>
    <w:tmpl w:val="5330A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1EF5348"/>
    <w:multiLevelType w:val="hybridMultilevel"/>
    <w:tmpl w:val="79789604"/>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6" w15:restartNumberingAfterBreak="0">
    <w:nsid w:val="340325AD"/>
    <w:multiLevelType w:val="multilevel"/>
    <w:tmpl w:val="4E58E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6841A7"/>
    <w:multiLevelType w:val="hybridMultilevel"/>
    <w:tmpl w:val="C2C6A98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40210237"/>
    <w:multiLevelType w:val="hybridMultilevel"/>
    <w:tmpl w:val="5FAE334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409B4798"/>
    <w:multiLevelType w:val="multilevel"/>
    <w:tmpl w:val="B394B298"/>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8CC7BEB"/>
    <w:multiLevelType w:val="multilevel"/>
    <w:tmpl w:val="9028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BA0C20"/>
    <w:multiLevelType w:val="hybridMultilevel"/>
    <w:tmpl w:val="935A77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4B4A096F"/>
    <w:multiLevelType w:val="multilevel"/>
    <w:tmpl w:val="542EE2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39B2436"/>
    <w:multiLevelType w:val="multilevel"/>
    <w:tmpl w:val="D8D4B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A580169"/>
    <w:multiLevelType w:val="multilevel"/>
    <w:tmpl w:val="9E12B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E07617A"/>
    <w:multiLevelType w:val="multilevel"/>
    <w:tmpl w:val="B678C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14532D8"/>
    <w:multiLevelType w:val="multilevel"/>
    <w:tmpl w:val="6C9AB700"/>
    <w:lvl w:ilvl="0">
      <w:start w:val="1"/>
      <w:numFmt w:val="decimal"/>
      <w:pStyle w:val="elencopuntato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750930F9"/>
    <w:multiLevelType w:val="multilevel"/>
    <w:tmpl w:val="D466D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76C43B8"/>
    <w:multiLevelType w:val="hybridMultilevel"/>
    <w:tmpl w:val="481CC07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77C80BF4"/>
    <w:multiLevelType w:val="multilevel"/>
    <w:tmpl w:val="9ED4A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8A94653"/>
    <w:multiLevelType w:val="multilevel"/>
    <w:tmpl w:val="30D6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764236">
    <w:abstractNumId w:val="26"/>
  </w:num>
  <w:num w:numId="2" w16cid:durableId="1771579169">
    <w:abstractNumId w:val="6"/>
  </w:num>
  <w:num w:numId="3" w16cid:durableId="991756667">
    <w:abstractNumId w:val="1"/>
  </w:num>
  <w:num w:numId="4" w16cid:durableId="2136824460">
    <w:abstractNumId w:val="14"/>
  </w:num>
  <w:num w:numId="5" w16cid:durableId="1259144648">
    <w:abstractNumId w:val="27"/>
  </w:num>
  <w:num w:numId="6" w16cid:durableId="1616251619">
    <w:abstractNumId w:val="7"/>
  </w:num>
  <w:num w:numId="7" w16cid:durableId="1425374819">
    <w:abstractNumId w:val="23"/>
  </w:num>
  <w:num w:numId="8" w16cid:durableId="683173283">
    <w:abstractNumId w:val="29"/>
  </w:num>
  <w:num w:numId="9" w16cid:durableId="207769115">
    <w:abstractNumId w:val="24"/>
  </w:num>
  <w:num w:numId="10" w16cid:durableId="1929729325">
    <w:abstractNumId w:val="19"/>
  </w:num>
  <w:num w:numId="11" w16cid:durableId="626739825">
    <w:abstractNumId w:val="25"/>
  </w:num>
  <w:num w:numId="12" w16cid:durableId="1504776845">
    <w:abstractNumId w:val="16"/>
  </w:num>
  <w:num w:numId="13" w16cid:durableId="1640767087">
    <w:abstractNumId w:val="15"/>
  </w:num>
  <w:num w:numId="14" w16cid:durableId="779103095">
    <w:abstractNumId w:val="4"/>
  </w:num>
  <w:num w:numId="15" w16cid:durableId="1534072599">
    <w:abstractNumId w:val="2"/>
  </w:num>
  <w:num w:numId="16" w16cid:durableId="446508711">
    <w:abstractNumId w:val="11"/>
  </w:num>
  <w:num w:numId="17" w16cid:durableId="162744809">
    <w:abstractNumId w:val="3"/>
  </w:num>
  <w:num w:numId="18" w16cid:durableId="1691688442">
    <w:abstractNumId w:val="12"/>
  </w:num>
  <w:num w:numId="19" w16cid:durableId="1172722340">
    <w:abstractNumId w:val="20"/>
  </w:num>
  <w:num w:numId="20" w16cid:durableId="1483889316">
    <w:abstractNumId w:val="9"/>
  </w:num>
  <w:num w:numId="21" w16cid:durableId="2012441748">
    <w:abstractNumId w:val="13"/>
  </w:num>
  <w:num w:numId="22" w16cid:durableId="1519586035">
    <w:abstractNumId w:val="18"/>
  </w:num>
  <w:num w:numId="23" w16cid:durableId="1784418966">
    <w:abstractNumId w:val="10"/>
  </w:num>
  <w:num w:numId="24" w16cid:durableId="991107009">
    <w:abstractNumId w:val="28"/>
  </w:num>
  <w:num w:numId="25" w16cid:durableId="1187911269">
    <w:abstractNumId w:val="21"/>
  </w:num>
  <w:num w:numId="26" w16cid:durableId="1711605851">
    <w:abstractNumId w:val="22"/>
  </w:num>
  <w:num w:numId="27" w16cid:durableId="308444274">
    <w:abstractNumId w:val="5"/>
  </w:num>
  <w:num w:numId="28" w16cid:durableId="637762790">
    <w:abstractNumId w:val="0"/>
  </w:num>
  <w:num w:numId="29" w16cid:durableId="121046006">
    <w:abstractNumId w:val="30"/>
  </w:num>
  <w:num w:numId="30" w16cid:durableId="996225919">
    <w:abstractNumId w:val="17"/>
  </w:num>
  <w:num w:numId="31" w16cid:durableId="20624838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D9F"/>
    <w:rsid w:val="00062B15"/>
    <w:rsid w:val="00082872"/>
    <w:rsid w:val="00090E09"/>
    <w:rsid w:val="001C01A6"/>
    <w:rsid w:val="002E5BF5"/>
    <w:rsid w:val="00302E33"/>
    <w:rsid w:val="0037703F"/>
    <w:rsid w:val="003D71EE"/>
    <w:rsid w:val="004604A5"/>
    <w:rsid w:val="004A48E4"/>
    <w:rsid w:val="004B5DEB"/>
    <w:rsid w:val="00521692"/>
    <w:rsid w:val="005239AB"/>
    <w:rsid w:val="00581E69"/>
    <w:rsid w:val="00597A79"/>
    <w:rsid w:val="006D68E4"/>
    <w:rsid w:val="00703A4F"/>
    <w:rsid w:val="007255D1"/>
    <w:rsid w:val="007612B6"/>
    <w:rsid w:val="0078531F"/>
    <w:rsid w:val="00792D9F"/>
    <w:rsid w:val="009907F6"/>
    <w:rsid w:val="00992E25"/>
    <w:rsid w:val="00A966B9"/>
    <w:rsid w:val="00C11C56"/>
    <w:rsid w:val="00C361CF"/>
    <w:rsid w:val="00C75EC6"/>
    <w:rsid w:val="00C91C8E"/>
    <w:rsid w:val="00D91AB7"/>
    <w:rsid w:val="00DB7B6E"/>
    <w:rsid w:val="00E07E1A"/>
    <w:rsid w:val="00E7004F"/>
    <w:rsid w:val="00E70FC3"/>
    <w:rsid w:val="00EB53B2"/>
    <w:rsid w:val="00EB6746"/>
    <w:rsid w:val="00EE2051"/>
    <w:rsid w:val="00F202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E383A"/>
  <w15:docId w15:val="{647C13D7-1E64-4D90-8D2D-8A11E665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lang w:val="it-IT"/>
    </w:rPr>
  </w:style>
  <w:style w:type="paragraph" w:styleId="Titolo1">
    <w:name w:val="heading 1"/>
    <w:basedOn w:val="Normale"/>
    <w:next w:val="Normale"/>
    <w:uiPriority w:val="9"/>
    <w:qFormat/>
    <w:pPr>
      <w:keepNext/>
      <w:spacing w:before="240" w:after="60"/>
    </w:pPr>
    <w:rPr>
      <w:rFonts w:ascii="Arial" w:hAnsi="Arial" w:cs="Arial"/>
      <w:b/>
      <w:bCs/>
      <w:kern w:val="32"/>
      <w:sz w:val="32"/>
      <w:szCs w:val="32"/>
    </w:rPr>
  </w:style>
  <w:style w:type="paragraph" w:styleId="Titolo2">
    <w:name w:val="heading 2"/>
    <w:basedOn w:val="Normale"/>
    <w:next w:val="Normale"/>
    <w:uiPriority w:val="9"/>
    <w:semiHidden/>
    <w:unhideWhenUsed/>
    <w:qFormat/>
    <w:pPr>
      <w:keepNext/>
      <w:spacing w:before="240" w:after="60"/>
      <w:outlineLvl w:val="1"/>
    </w:pPr>
    <w:rPr>
      <w:rFonts w:ascii="Arial" w:hAnsi="Arial" w:cs="Arial"/>
      <w:b/>
      <w:bCs/>
      <w:i/>
      <w:iCs/>
      <w:sz w:val="28"/>
      <w:szCs w:val="28"/>
    </w:rPr>
  </w:style>
  <w:style w:type="paragraph" w:styleId="Titolo3">
    <w:name w:val="heading 3"/>
    <w:basedOn w:val="Normale"/>
    <w:next w:val="Normale"/>
    <w:uiPriority w:val="9"/>
    <w:semiHidden/>
    <w:unhideWhenUsed/>
    <w:qFormat/>
    <w:pPr>
      <w:keepNext/>
      <w:spacing w:before="240" w:after="60"/>
      <w:outlineLvl w:val="2"/>
    </w:pPr>
    <w:rPr>
      <w:rFonts w:ascii="Arial" w:hAnsi="Arial" w:cs="Arial"/>
      <w:b/>
      <w:bCs/>
      <w:sz w:val="26"/>
      <w:szCs w:val="26"/>
    </w:rPr>
  </w:style>
  <w:style w:type="paragraph" w:styleId="Titolo4">
    <w:name w:val="heading 4"/>
    <w:basedOn w:val="Normale"/>
    <w:next w:val="Normale"/>
    <w:uiPriority w:val="9"/>
    <w:semiHidden/>
    <w:unhideWhenUsed/>
    <w:qFormat/>
    <w:pPr>
      <w:keepNext/>
      <w:spacing w:before="240" w:after="60"/>
      <w:outlineLvl w:val="3"/>
    </w:pPr>
    <w:rPr>
      <w:b/>
      <w:bCs/>
      <w:sz w:val="28"/>
      <w:szCs w:val="28"/>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chiusura">
    <w:name w:val="chiusura"/>
    <w:basedOn w:val="Titolo4"/>
    <w:pPr>
      <w:spacing w:before="0" w:after="0"/>
    </w:pPr>
    <w:rPr>
      <w:rFonts w:ascii="Helvetica" w:hAnsi="Helvetica" w:cs="Helvetica"/>
      <w:i/>
      <w:iCs/>
      <w:sz w:val="16"/>
      <w:szCs w:val="24"/>
    </w:rPr>
  </w:style>
  <w:style w:type="character" w:styleId="Collegamentoipertestuale">
    <w:name w:val="Hyperlink"/>
    <w:rPr>
      <w:color w:val="0000FF"/>
      <w:w w:val="100"/>
      <w:position w:val="-1"/>
      <w:u w:val="single"/>
      <w:effect w:val="none"/>
      <w:vertAlign w:val="baseline"/>
      <w:cs w:val="0"/>
      <w:em w:val="none"/>
    </w:rPr>
  </w:style>
  <w:style w:type="paragraph" w:styleId="Corpotesto">
    <w:name w:val="Body Text"/>
    <w:basedOn w:val="Normale"/>
    <w:pPr>
      <w:spacing w:after="120" w:line="360" w:lineRule="auto"/>
      <w:jc w:val="both"/>
    </w:pPr>
    <w:rPr>
      <w:rFonts w:ascii="Helvetica" w:hAnsi="Helvetica"/>
      <w:sz w:val="20"/>
    </w:rPr>
  </w:style>
  <w:style w:type="paragraph" w:customStyle="1" w:styleId="datapubblicazione">
    <w:name w:val="data pubblicazione"/>
    <w:basedOn w:val="Normale"/>
    <w:pPr>
      <w:ind w:left="4111"/>
    </w:pPr>
    <w:rPr>
      <w:rFonts w:ascii="Helvetica" w:hAnsi="Helvetica"/>
      <w:color w:val="000000"/>
      <w:w w:val="95"/>
    </w:rPr>
  </w:style>
  <w:style w:type="paragraph" w:customStyle="1" w:styleId="Dirittiriservati">
    <w:name w:val="Diritti riservati"/>
    <w:basedOn w:val="Normale"/>
    <w:pPr>
      <w:jc w:val="both"/>
    </w:pPr>
    <w:rPr>
      <w:rFonts w:ascii="Helvetica" w:hAnsi="Helvetica"/>
      <w:color w:val="808080"/>
      <w:sz w:val="16"/>
    </w:rPr>
  </w:style>
  <w:style w:type="paragraph" w:customStyle="1" w:styleId="disclaimer">
    <w:name w:val="disclaimer"/>
    <w:basedOn w:val="Corpotesto"/>
    <w:pPr>
      <w:spacing w:after="0" w:line="240" w:lineRule="auto"/>
    </w:pPr>
    <w:rPr>
      <w:sz w:val="16"/>
    </w:rPr>
  </w:style>
  <w:style w:type="paragraph" w:customStyle="1" w:styleId="elencopuntato1">
    <w:name w:val="elenco puntato1"/>
    <w:basedOn w:val="Corpotesto"/>
    <w:pPr>
      <w:numPr>
        <w:numId w:val="1"/>
      </w:numPr>
      <w:ind w:left="-1" w:hanging="1"/>
    </w:pPr>
  </w:style>
  <w:style w:type="paragraph" w:customStyle="1" w:styleId="elencopuntato2">
    <w:name w:val="elenco puntato2"/>
    <w:basedOn w:val="Corpotesto"/>
    <w:pPr>
      <w:numPr>
        <w:numId w:val="2"/>
      </w:numPr>
      <w:ind w:left="-1" w:hanging="1"/>
    </w:pPr>
  </w:style>
  <w:style w:type="paragraph" w:styleId="Indice1">
    <w:name w:val="index 1"/>
    <w:basedOn w:val="Normale"/>
    <w:next w:val="Normale"/>
    <w:pPr>
      <w:spacing w:after="120" w:line="312" w:lineRule="auto"/>
      <w:ind w:left="4111"/>
    </w:pPr>
    <w:rPr>
      <w:rFonts w:ascii="Helvetica" w:hAnsi="Helvetica"/>
      <w:noProof/>
      <w:color w:val="808080"/>
      <w:sz w:val="28"/>
    </w:rPr>
  </w:style>
  <w:style w:type="paragraph" w:customStyle="1" w:styleId="indirizzowww">
    <w:name w:val="indirizzo www"/>
    <w:basedOn w:val="datapubblicazione"/>
    <w:rPr>
      <w:color w:val="C0C0C0"/>
    </w:rPr>
  </w:style>
  <w:style w:type="paragraph" w:styleId="Intestazione">
    <w:name w:val="header"/>
    <w:basedOn w:val="Normale"/>
    <w:pPr>
      <w:tabs>
        <w:tab w:val="center" w:pos="4819"/>
        <w:tab w:val="right" w:pos="9638"/>
      </w:tabs>
    </w:pPr>
  </w:style>
  <w:style w:type="paragraph" w:customStyle="1" w:styleId="redattore">
    <w:name w:val="redattore"/>
    <w:basedOn w:val="Normale"/>
    <w:pPr>
      <w:jc w:val="center"/>
    </w:pPr>
    <w:rPr>
      <w:rFonts w:ascii="Helvetica" w:hAnsi="Helvetica"/>
      <w:i/>
      <w:sz w:val="20"/>
    </w:rPr>
  </w:style>
  <w:style w:type="paragraph" w:customStyle="1" w:styleId="marginiredattore">
    <w:name w:val="marginiredattore"/>
    <w:basedOn w:val="redattore"/>
    <w:rPr>
      <w:color w:val="333399"/>
      <w:sz w:val="24"/>
    </w:rPr>
  </w:style>
  <w:style w:type="character" w:styleId="Numeropagina">
    <w:name w:val="page number"/>
    <w:rPr>
      <w:rFonts w:ascii="Helvetica" w:hAnsi="Helvetica" w:cs="Times New Roman"/>
      <w:color w:val="C0C0C0"/>
      <w:w w:val="100"/>
      <w:position w:val="-1"/>
      <w:sz w:val="18"/>
      <w:effect w:val="none"/>
      <w:vertAlign w:val="baseline"/>
      <w:cs w:val="0"/>
      <w:em w:val="none"/>
    </w:rPr>
  </w:style>
  <w:style w:type="paragraph" w:styleId="Pidipagina">
    <w:name w:val="footer"/>
    <w:basedOn w:val="Normale"/>
    <w:pPr>
      <w:tabs>
        <w:tab w:val="center" w:pos="4819"/>
        <w:tab w:val="right" w:pos="9638"/>
      </w:tabs>
      <w:ind w:left="4139"/>
    </w:pPr>
    <w:rPr>
      <w:rFonts w:ascii="Helvetica" w:hAnsi="Helvetica"/>
      <w:color w:val="C0C0C0"/>
      <w:sz w:val="16"/>
    </w:rPr>
  </w:style>
  <w:style w:type="paragraph" w:customStyle="1" w:styleId="Pidipaginasezionecontenuti">
    <w:name w:val="Piè di pagina sezione contenuti"/>
    <w:basedOn w:val="Pidipagina"/>
    <w:pPr>
      <w:ind w:left="2268"/>
    </w:pPr>
  </w:style>
  <w:style w:type="paragraph" w:customStyle="1" w:styleId="redatto">
    <w:name w:val="redatto"/>
    <w:basedOn w:val="Normale"/>
    <w:pPr>
      <w:ind w:left="4111"/>
    </w:pPr>
    <w:rPr>
      <w:rFonts w:ascii="Helvetica" w:hAnsi="Helvetica"/>
      <w:color w:val="808080"/>
    </w:rPr>
  </w:style>
  <w:style w:type="paragraph" w:customStyle="1" w:styleId="titolodocumento">
    <w:name w:val="titolo documento"/>
    <w:basedOn w:val="Normale"/>
    <w:pPr>
      <w:ind w:right="-30"/>
      <w:jc w:val="center"/>
    </w:pPr>
    <w:rPr>
      <w:rFonts w:ascii="Georgia" w:hAnsi="Georgia"/>
      <w:b/>
      <w:bCs/>
      <w:imprint/>
      <w:color w:val="000099"/>
      <w:sz w:val="40"/>
      <w:szCs w:val="28"/>
    </w:rPr>
  </w:style>
  <w:style w:type="paragraph" w:styleId="Titoloindice">
    <w:name w:val="index heading"/>
    <w:basedOn w:val="Normale"/>
    <w:next w:val="Indice1"/>
  </w:style>
  <w:style w:type="paragraph" w:customStyle="1" w:styleId="titolo10">
    <w:name w:val="titolo1"/>
    <w:basedOn w:val="Titolo1"/>
    <w:rPr>
      <w:rFonts w:ascii="Bookman Old Style" w:hAnsi="Bookman Old Style" w:cs="Times New Roman"/>
      <w:color w:val="000099"/>
      <w:kern w:val="28"/>
      <w:sz w:val="28"/>
      <w:szCs w:val="24"/>
    </w:rPr>
  </w:style>
  <w:style w:type="paragraph" w:customStyle="1" w:styleId="titolo20">
    <w:name w:val="titolo2"/>
    <w:basedOn w:val="Titolo2"/>
    <w:rPr>
      <w:rFonts w:ascii="Bookman Old Style" w:hAnsi="Bookman Old Style" w:cs="Times New Roman"/>
      <w:bCs w:val="0"/>
      <w:iCs w:val="0"/>
      <w:color w:val="000099"/>
      <w:sz w:val="22"/>
      <w:szCs w:val="24"/>
    </w:rPr>
  </w:style>
  <w:style w:type="paragraph" w:customStyle="1" w:styleId="titolo30">
    <w:name w:val="titolo3"/>
    <w:basedOn w:val="Titolo3"/>
    <w:rPr>
      <w:rFonts w:ascii="Bookman Old Style" w:hAnsi="Bookman Old Style" w:cs="Times New Roman"/>
      <w:b w:val="0"/>
      <w:bCs w:val="0"/>
      <w:i/>
      <w:iCs/>
      <w:color w:val="000099"/>
      <w:sz w:val="22"/>
      <w:szCs w:val="24"/>
    </w:rPr>
  </w:style>
  <w:style w:type="paragraph" w:customStyle="1" w:styleId="abstract">
    <w:name w:val="abstract"/>
    <w:basedOn w:val="Normale"/>
    <w:pPr>
      <w:ind w:right="-30"/>
      <w:jc w:val="center"/>
    </w:pPr>
    <w:rPr>
      <w:rFonts w:ascii="Helvetica" w:hAnsi="Helvetica"/>
      <w:b/>
      <w:bCs/>
      <w:i/>
      <w:iCs/>
      <w:sz w:val="20"/>
      <w:szCs w:val="28"/>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rPr>
      <w:rFonts w:ascii="Helvetica" w:hAnsi="Helvetica"/>
      <w:w w:val="100"/>
      <w:position w:val="-1"/>
      <w:szCs w:val="24"/>
      <w:effect w:val="none"/>
      <w:vertAlign w:val="baseline"/>
      <w:cs w:val="0"/>
      <w:em w:val="none"/>
      <w:lang w:val="it-IT" w:eastAsia="it-IT" w:bidi="ar-SA"/>
    </w:rPr>
  </w:style>
  <w:style w:type="character" w:customStyle="1" w:styleId="elencopuntato1Carattere">
    <w:name w:val="elenco puntato1 Carattere"/>
    <w:basedOn w:val="CorpotestoCarattere"/>
    <w:rPr>
      <w:rFonts w:ascii="Helvetica" w:hAnsi="Helvetica"/>
      <w:w w:val="100"/>
      <w:position w:val="-1"/>
      <w:szCs w:val="24"/>
      <w:effect w:val="none"/>
      <w:vertAlign w:val="baseline"/>
      <w:cs w:val="0"/>
      <w:em w:val="none"/>
      <w:lang w:val="it-IT" w:eastAsia="it-IT" w:bidi="ar-SA"/>
    </w:rPr>
  </w:style>
  <w:style w:type="character" w:customStyle="1" w:styleId="elencopuntato2Carattere">
    <w:name w:val="elenco puntato2 Carattere"/>
    <w:basedOn w:val="CorpotestoCarattere"/>
    <w:rPr>
      <w:rFonts w:ascii="Helvetica" w:hAnsi="Helvetica"/>
      <w:w w:val="100"/>
      <w:position w:val="-1"/>
      <w:szCs w:val="24"/>
      <w:effect w:val="none"/>
      <w:vertAlign w:val="baseline"/>
      <w:cs w:val="0"/>
      <w:em w:val="none"/>
      <w:lang w:val="it-IT" w:eastAsia="it-IT" w:bidi="ar-SA"/>
    </w:rPr>
  </w:style>
  <w:style w:type="paragraph" w:customStyle="1" w:styleId="hTestoTabella">
    <w:name w:val="h) Testo Tabella"/>
    <w:basedOn w:val="Normale"/>
    <w:pPr>
      <w:widowControl w:val="0"/>
      <w:autoSpaceDE w:val="0"/>
      <w:autoSpaceDN w:val="0"/>
      <w:adjustRightInd w:val="0"/>
      <w:spacing w:line="258" w:lineRule="atLeast"/>
      <w:jc w:val="both"/>
      <w:textAlignment w:val="center"/>
    </w:pPr>
    <w:rPr>
      <w:rFonts w:ascii="Eurostile" w:hAnsi="Eurostile"/>
      <w:color w:val="000000"/>
      <w:sz w:val="20"/>
      <w:szCs w:val="20"/>
    </w:rPr>
  </w:style>
  <w:style w:type="paragraph" w:styleId="Testonormale">
    <w:name w:val="Plain Text"/>
    <w:basedOn w:val="Normale"/>
    <w:rPr>
      <w:rFonts w:ascii="Courier New" w:hAnsi="Courier New" w:cs="Courier New"/>
      <w:sz w:val="20"/>
      <w:szCs w:val="20"/>
    </w:rPr>
  </w:style>
  <w:style w:type="character" w:customStyle="1" w:styleId="apple-converted-space">
    <w:name w:val="apple-converted-space"/>
    <w:basedOn w:val="Carpredefinitoparagrafo"/>
    <w:rPr>
      <w:w w:val="100"/>
      <w:position w:val="-1"/>
      <w:effect w:val="none"/>
      <w:vertAlign w:val="baseline"/>
      <w:cs w:val="0"/>
      <w:em w:val="none"/>
    </w:rPr>
  </w:style>
  <w:style w:type="paragraph" w:styleId="NormaleWeb">
    <w:name w:val="Normal (Web)"/>
    <w:basedOn w:val="Normale"/>
    <w:uiPriority w:val="99"/>
    <w:pPr>
      <w:spacing w:before="100" w:beforeAutospacing="1" w:after="100" w:afterAutospacing="1"/>
    </w:pPr>
  </w:style>
  <w:style w:type="character" w:styleId="Enfasicorsivo">
    <w:name w:val="Emphasis"/>
    <w:rPr>
      <w:i/>
      <w:iCs/>
      <w:w w:val="100"/>
      <w:position w:val="-1"/>
      <w:effect w:val="none"/>
      <w:vertAlign w:val="baseline"/>
      <w:cs w:val="0"/>
      <w:em w:val="none"/>
    </w:rPr>
  </w:style>
  <w:style w:type="character" w:styleId="Enfasigrassetto">
    <w:name w:val="Strong"/>
    <w:rPr>
      <w:b/>
      <w:bCs/>
      <w:w w:val="100"/>
      <w:position w:val="-1"/>
      <w:effect w:val="none"/>
      <w:vertAlign w:val="baseline"/>
      <w:cs w:val="0"/>
      <w:em w:val="none"/>
    </w:rPr>
  </w:style>
  <w:style w:type="paragraph" w:styleId="Data">
    <w:name w:val="Date"/>
    <w:basedOn w:val="Normale"/>
    <w:next w:val="Normale"/>
  </w:style>
  <w:style w:type="paragraph" w:styleId="Mappadocumento">
    <w:name w:val="Document Map"/>
    <w:basedOn w:val="Normale"/>
    <w:pPr>
      <w:shd w:val="clear" w:color="auto" w:fill="000080"/>
    </w:pPr>
    <w:rPr>
      <w:rFonts w:ascii="Tahoma" w:hAnsi="Tahoma" w:cs="Tahoma"/>
      <w:sz w:val="20"/>
      <w:szCs w:val="20"/>
    </w:rPr>
  </w:style>
  <w:style w:type="paragraph" w:styleId="Testofumetto">
    <w:name w:val="Balloon Text"/>
    <w:basedOn w:val="Normale"/>
    <w:rPr>
      <w:rFonts w:ascii="Tahoma" w:hAnsi="Tahoma" w:cs="Tahoma"/>
      <w:sz w:val="16"/>
      <w:szCs w:val="16"/>
    </w:rPr>
  </w:style>
  <w:style w:type="character" w:customStyle="1" w:styleId="TestonormaleCarattere">
    <w:name w:val="Testo normale Carattere"/>
    <w:rPr>
      <w:rFonts w:ascii="Courier New" w:hAnsi="Courier New" w:cs="Courier New"/>
      <w:w w:val="100"/>
      <w:position w:val="-1"/>
      <w:effect w:val="none"/>
      <w:vertAlign w:val="baseline"/>
      <w:cs w:val="0"/>
      <w:em w:val="none"/>
      <w:lang w:val="it-IT" w:eastAsia="it-IT" w:bidi="ar-SA"/>
    </w:rPr>
  </w:style>
  <w:style w:type="paragraph" w:customStyle="1" w:styleId="Elencoacolori-Colore11">
    <w:name w:val="Elenco a colori - Colore 11"/>
    <w:basedOn w:val="Normale"/>
    <w:pPr>
      <w:spacing w:after="160" w:line="259" w:lineRule="auto"/>
      <w:ind w:left="720"/>
      <w:contextualSpacing/>
    </w:pPr>
    <w:rPr>
      <w:rFonts w:ascii="Calibri" w:eastAsia="Calibri" w:hAnsi="Calibri"/>
      <w:sz w:val="22"/>
      <w:szCs w:val="22"/>
      <w:lang w:eastAsia="en-US"/>
    </w:rPr>
  </w:style>
  <w:style w:type="character" w:customStyle="1" w:styleId="doccorrtitolo">
    <w:name w:val="doc_corr_titolo"/>
    <w:rPr>
      <w:w w:val="100"/>
      <w:position w:val="-1"/>
      <w:effect w:val="none"/>
      <w:vertAlign w:val="baseline"/>
      <w:cs w:val="0"/>
      <w:em w:val="none"/>
    </w:rPr>
  </w:style>
  <w:style w:type="character" w:customStyle="1" w:styleId="doctitolofile">
    <w:name w:val="doc_titolo_file"/>
    <w:rPr>
      <w:w w:val="100"/>
      <w:position w:val="-1"/>
      <w:effect w:val="none"/>
      <w:vertAlign w:val="baseline"/>
      <w:cs w:val="0"/>
      <w:em w:val="none"/>
    </w:rPr>
  </w:style>
  <w:style w:type="character" w:customStyle="1" w:styleId="Titolo2Carattere">
    <w:name w:val="Titolo 2 Carattere"/>
    <w:rPr>
      <w:rFonts w:ascii="Arial" w:hAnsi="Arial" w:cs="Arial"/>
      <w:b/>
      <w:bCs/>
      <w:i/>
      <w:iCs/>
      <w:w w:val="100"/>
      <w:position w:val="-1"/>
      <w:sz w:val="28"/>
      <w:szCs w:val="28"/>
      <w:effect w:val="none"/>
      <w:vertAlign w:val="baseline"/>
      <w:cs w:val="0"/>
      <w:em w:val="none"/>
    </w:rPr>
  </w:style>
  <w:style w:type="paragraph" w:customStyle="1" w:styleId="desctxt">
    <w:name w:val="desc_txt"/>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customStyle="1" w:styleId="nero">
    <w:name w:val="nero"/>
    <w:rPr>
      <w:w w:val="100"/>
      <w:position w:val="-1"/>
      <w:effect w:val="none"/>
      <w:vertAlign w:val="baseline"/>
      <w:cs w:val="0"/>
      <w:em w:val="none"/>
    </w:rPr>
  </w:style>
  <w:style w:type="paragraph" w:customStyle="1" w:styleId="attenzione">
    <w:name w:val="attenzione"/>
    <w:basedOn w:val="Normale"/>
    <w:pPr>
      <w:spacing w:before="100" w:beforeAutospacing="1" w:after="100" w:afterAutospacing="1"/>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entury Gothic" w:hAnsi="Century Gothic" w:cs="Century Gothic"/>
      <w:color w:val="000000"/>
      <w:position w:val="-1"/>
      <w:sz w:val="24"/>
      <w:szCs w:val="24"/>
      <w:lang w:val="it-IT"/>
    </w:rPr>
  </w:style>
  <w:style w:type="paragraph" w:styleId="Corpodeltesto3">
    <w:name w:val="Body Text 3"/>
    <w:basedOn w:val="Normale"/>
    <w:qFormat/>
    <w:pPr>
      <w:spacing w:after="120" w:line="259" w:lineRule="auto"/>
    </w:pPr>
    <w:rPr>
      <w:rFonts w:ascii="Calibri" w:eastAsia="Calibri" w:hAnsi="Calibri"/>
      <w:sz w:val="16"/>
      <w:szCs w:val="16"/>
      <w:lang w:eastAsia="en-US"/>
    </w:rPr>
  </w:style>
  <w:style w:type="character" w:customStyle="1" w:styleId="Corpodeltesto3Carattere">
    <w:name w:val="Corpo del testo 3 Carattere"/>
    <w:rPr>
      <w:rFonts w:ascii="Calibri" w:eastAsia="Calibri" w:hAnsi="Calibri"/>
      <w:w w:val="100"/>
      <w:position w:val="-1"/>
      <w:sz w:val="16"/>
      <w:szCs w:val="16"/>
      <w:effect w:val="none"/>
      <w:vertAlign w:val="baseline"/>
      <w:cs w:val="0"/>
      <w:em w:val="none"/>
      <w:lang w:eastAsia="en-US"/>
    </w:rPr>
  </w:style>
  <w:style w:type="character" w:customStyle="1" w:styleId="rifnormativobo">
    <w:name w:val="rifnormativo_bo"/>
    <w:rPr>
      <w:w w:val="100"/>
      <w:position w:val="-1"/>
      <w:effect w:val="none"/>
      <w:vertAlign w:val="baseline"/>
      <w:cs w:val="0"/>
      <w:em w:val="none"/>
    </w:rPr>
  </w:style>
  <w:style w:type="character" w:styleId="Collegamentovisitato">
    <w:name w:val="FollowedHyperlink"/>
    <w:rPr>
      <w:color w:val="954F72"/>
      <w:w w:val="100"/>
      <w:position w:val="-1"/>
      <w:u w:val="single"/>
      <w:effect w:val="none"/>
      <w:vertAlign w:val="baseline"/>
      <w:cs w:val="0"/>
      <w:em w:val="none"/>
    </w:rPr>
  </w:style>
  <w:style w:type="character" w:customStyle="1" w:styleId="10l">
    <w:name w:val="10l"/>
    <w:rPr>
      <w:w w:val="100"/>
      <w:position w:val="-1"/>
      <w:effect w:val="none"/>
      <w:vertAlign w:val="baseline"/>
      <w:cs w:val="0"/>
      <w:em w:val="none"/>
    </w:rPr>
  </w:style>
  <w:style w:type="paragraph" w:customStyle="1" w:styleId="testo">
    <w:name w:val="testo"/>
    <w:basedOn w:val="Normale"/>
    <w:pPr>
      <w:spacing w:before="100" w:beforeAutospacing="1" w:after="100" w:afterAutospacing="1"/>
    </w:pPr>
  </w:style>
  <w:style w:type="paragraph" w:customStyle="1" w:styleId="testo-r1">
    <w:name w:val="testo-r1"/>
    <w:basedOn w:val="Normale"/>
    <w:pPr>
      <w:spacing w:before="100" w:beforeAutospacing="1" w:after="100" w:afterAutospacing="1"/>
    </w:pPr>
  </w:style>
  <w:style w:type="table" w:customStyle="1" w:styleId="TableGrid">
    <w:name w:val="TableGrid"/>
    <w:pPr>
      <w:suppressAutoHyphens/>
      <w:spacing w:line="1" w:lineRule="atLeast"/>
      <w:ind w:leftChars="-1" w:left="-1" w:hangingChars="1" w:hanging="1"/>
      <w:textDirection w:val="btLr"/>
      <w:textAlignment w:val="top"/>
      <w:outlineLvl w:val="0"/>
    </w:pPr>
    <w:rPr>
      <w:rFonts w:ascii="Calibri" w:hAnsi="Calibri"/>
      <w:position w:val="-1"/>
      <w:sz w:val="22"/>
      <w:szCs w:val="22"/>
      <w:lang w:val="it-IT"/>
    </w:rPr>
    <w:tblPr>
      <w:tblCellMar>
        <w:top w:w="0" w:type="dxa"/>
        <w:left w:w="0" w:type="dxa"/>
        <w:bottom w:w="0" w:type="dxa"/>
        <w:right w:w="0" w:type="dxa"/>
      </w:tblCellMar>
    </w:tblPr>
  </w:style>
  <w:style w:type="character" w:customStyle="1" w:styleId="Titolo6Carattere">
    <w:name w:val="Titolo 6 Carattere"/>
    <w:rPr>
      <w:rFonts w:ascii="Calibri" w:eastAsia="Times New Roman" w:hAnsi="Calibri" w:cs="Times New Roman"/>
      <w:b/>
      <w:bCs/>
      <w:w w:val="100"/>
      <w:position w:val="-1"/>
      <w:sz w:val="22"/>
      <w:szCs w:val="22"/>
      <w:effect w:val="none"/>
      <w:vertAlign w:val="baseline"/>
      <w:cs w:val="0"/>
      <w:em w:val="none"/>
    </w:rPr>
  </w:style>
  <w:style w:type="paragraph" w:customStyle="1" w:styleId="contenutotabella">
    <w:name w:val="contenutotabella"/>
    <w:basedOn w:val="Normale"/>
    <w:pPr>
      <w:spacing w:before="100" w:beforeAutospacing="1" w:after="100" w:afterAutospacing="1"/>
    </w:pPr>
  </w:style>
  <w:style w:type="paragraph" w:customStyle="1" w:styleId="testopreformattato">
    <w:name w:val="testopreformattato"/>
    <w:basedOn w:val="Normale"/>
    <w:pPr>
      <w:spacing w:before="100" w:beforeAutospacing="1" w:after="100" w:afterAutospacing="1"/>
    </w:pPr>
  </w:style>
  <w:style w:type="paragraph" w:customStyle="1" w:styleId="boxattenzione">
    <w:name w:val="boxattenzione"/>
    <w:basedOn w:val="Normale"/>
    <w:pPr>
      <w:spacing w:before="100" w:beforeAutospacing="1" w:after="100" w:afterAutospacing="1"/>
    </w:pPr>
  </w:style>
  <w:style w:type="paragraph" w:customStyle="1" w:styleId="preformattedtext">
    <w:name w:val="preformattedtext"/>
    <w:basedOn w:val="Normale"/>
    <w:pPr>
      <w:spacing w:before="100" w:beforeAutospacing="1" w:after="100" w:afterAutospacing="1"/>
    </w:pPr>
  </w:style>
  <w:style w:type="paragraph" w:customStyle="1" w:styleId="standard">
    <w:name w:val="standard"/>
    <w:basedOn w:val="Normale"/>
    <w:pPr>
      <w:spacing w:before="100" w:beforeAutospacing="1" w:after="100" w:afterAutospacing="1"/>
    </w:pPr>
  </w:style>
  <w:style w:type="table" w:styleId="Tabellatema">
    <w:name w:val="Table Theme"/>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e"/>
    <w:pPr>
      <w:spacing w:before="100" w:beforeAutospacing="1" w:after="100" w:afterAutospacing="1"/>
    </w:pPr>
  </w:style>
  <w:style w:type="character" w:styleId="Menzionenonrisolta">
    <w:name w:val="Unresolved Mention"/>
    <w:rPr>
      <w:color w:val="808080"/>
      <w:w w:val="100"/>
      <w:position w:val="-1"/>
      <w:effect w:val="none"/>
      <w:shd w:val="clear" w:color="auto" w:fill="E6E6E6"/>
      <w:vertAlign w:val="baseline"/>
      <w:cs w:val="0"/>
      <w:em w:val="none"/>
    </w:rPr>
  </w:style>
  <w:style w:type="paragraph" w:styleId="Paragrafoelenco">
    <w:name w:val="List Paragraph"/>
    <w:basedOn w:val="Normale"/>
    <w:pPr>
      <w:spacing w:after="160" w:line="256" w:lineRule="auto"/>
      <w:ind w:left="720"/>
      <w:contextualSpacing/>
    </w:pPr>
    <w:rPr>
      <w:rFonts w:ascii="Calibri" w:eastAsia="Calibri" w:hAnsi="Calibri"/>
      <w:sz w:val="22"/>
      <w:szCs w:val="22"/>
      <w:lang w:eastAsia="en-US"/>
    </w:rPr>
  </w:style>
  <w:style w:type="character" w:customStyle="1" w:styleId="linkarticolo">
    <w:name w:val="linkarticolo"/>
    <w:basedOn w:val="Carpredefinitoparagrafo"/>
    <w:rPr>
      <w:w w:val="100"/>
      <w:position w:val="-1"/>
      <w:effect w:val="none"/>
      <w:vertAlign w:val="baseline"/>
      <w:cs w:val="0"/>
      <w:em w:val="none"/>
    </w:rPr>
  </w:style>
  <w:style w:type="paragraph" w:customStyle="1" w:styleId="done">
    <w:name w:val="done"/>
    <w:basedOn w:val="Normale"/>
    <w:pPr>
      <w:spacing w:before="100" w:beforeAutospacing="1" w:after="100" w:afterAutospacing="1"/>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15" w:type="dxa"/>
        <w:left w:w="70" w:type="dxa"/>
        <w:bottom w:w="15"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tblPr>
      <w:tblStyleRowBandSize w:val="1"/>
      <w:tblStyleColBandSize w:val="1"/>
      <w:tblCellMar>
        <w:top w:w="15" w:type="dxa"/>
        <w:left w:w="70" w:type="dxa"/>
        <w:bottom w:w="15" w:type="dxa"/>
        <w:right w:w="70"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15" w:type="dxa"/>
        <w:left w:w="70" w:type="dxa"/>
        <w:bottom w:w="15"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15" w:type="dxa"/>
        <w:left w:w="70" w:type="dxa"/>
        <w:bottom w:w="15" w:type="dxa"/>
        <w:right w:w="70"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15" w:type="dxa"/>
        <w:left w:w="70" w:type="dxa"/>
        <w:bottom w:w="15"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15" w:type="dxa"/>
        <w:left w:w="70" w:type="dxa"/>
        <w:bottom w:w="15" w:type="dxa"/>
        <w:right w:w="70"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tblPr>
      <w:tblStyleRowBandSize w:val="1"/>
      <w:tblStyleColBandSize w:val="1"/>
      <w:tblCellMar>
        <w:top w:w="15" w:type="dxa"/>
        <w:left w:w="70" w:type="dxa"/>
        <w:bottom w:w="15" w:type="dxa"/>
        <w:right w:w="70"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tblPr>
      <w:tblStyleRowBandSize w:val="1"/>
      <w:tblStyleColBandSize w:val="1"/>
      <w:tblCellMar>
        <w:top w:w="15" w:type="dxa"/>
        <w:left w:w="70" w:type="dxa"/>
        <w:bottom w:w="15" w:type="dxa"/>
        <w:right w:w="70" w:type="dxa"/>
      </w:tblCellMar>
    </w:tblPr>
  </w:style>
  <w:style w:type="table" w:customStyle="1" w:styleId="afb">
    <w:basedOn w:val="TableNormal"/>
    <w:tblPr>
      <w:tblStyleRowBandSize w:val="1"/>
      <w:tblStyleColBandSize w:val="1"/>
      <w:tblCellMar>
        <w:top w:w="0" w:type="dxa"/>
        <w:left w:w="70" w:type="dxa"/>
        <w:bottom w:w="0" w:type="dxa"/>
        <w:right w:w="70" w:type="dxa"/>
      </w:tblCellMar>
    </w:tblPr>
  </w:style>
  <w:style w:type="table" w:customStyle="1" w:styleId="afc">
    <w:basedOn w:val="TableNormal"/>
    <w:tblPr>
      <w:tblStyleRowBandSize w:val="1"/>
      <w:tblStyleColBandSize w:val="1"/>
      <w:tblCellMar>
        <w:top w:w="15" w:type="dxa"/>
        <w:left w:w="70" w:type="dxa"/>
        <w:bottom w:w="15" w:type="dxa"/>
        <w:right w:w="70" w:type="dxa"/>
      </w:tblCellMar>
    </w:tblPr>
  </w:style>
  <w:style w:type="table" w:customStyle="1" w:styleId="afd">
    <w:basedOn w:val="TableNormal"/>
    <w:tblPr>
      <w:tblStyleRowBandSize w:val="1"/>
      <w:tblStyleColBandSize w:val="1"/>
      <w:tblCellMar>
        <w:top w:w="0" w:type="dxa"/>
        <w:left w:w="70" w:type="dxa"/>
        <w:bottom w:w="0" w:type="dxa"/>
        <w:right w:w="70" w:type="dxa"/>
      </w:tblCellMar>
    </w:tblPr>
  </w:style>
  <w:style w:type="table" w:customStyle="1" w:styleId="afe">
    <w:basedOn w:val="TableNormal"/>
    <w:tblPr>
      <w:tblStyleRowBandSize w:val="1"/>
      <w:tblStyleColBandSize w:val="1"/>
      <w:tblCellMar>
        <w:top w:w="15" w:type="dxa"/>
        <w:left w:w="70" w:type="dxa"/>
        <w:bottom w:w="15" w:type="dxa"/>
        <w:right w:w="70"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70" w:type="dxa"/>
        <w:bottom w:w="0" w:type="dxa"/>
        <w:right w:w="70" w:type="dxa"/>
      </w:tblCellMar>
    </w:tblPr>
  </w:style>
  <w:style w:type="table" w:customStyle="1" w:styleId="aff1">
    <w:basedOn w:val="TableNormal"/>
    <w:tblPr>
      <w:tblStyleRowBandSize w:val="1"/>
      <w:tblStyleColBandSize w:val="1"/>
      <w:tblCellMar>
        <w:top w:w="0" w:type="dxa"/>
        <w:left w:w="70" w:type="dxa"/>
        <w:bottom w:w="0" w:type="dxa"/>
        <w:right w:w="70"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4IZyIovI7BYavpbyRhBqQaqwnw==">CgMxLjAaJAoBMBIfCh0IB0IZCgVBcmlhbBIQQXJpYWwgVW5pY29kZSBNUxofCgExEhoKGAgJUhQKEnRhYmxlLmJ4eG5kZXcweDlxMxofCgEyEhoKGAgJUhQKEnRhYmxlLnYyb2JiNTEzNmlrYTIOaC5mOHk5NHc3am0zbXQyDmguYndzNXVwMTB3aGoyOAByITE1VzF0aEUzODNUNkRaYkZ5UTdJQVMtVUI2WUUxRDZTUA==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12</Pages>
  <Words>4570</Words>
  <Characters>26052</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Riccardo Albanesi</dc:creator>
  <cp:lastModifiedBy>Emanuela Prati</cp:lastModifiedBy>
  <cp:revision>10</cp:revision>
  <dcterms:created xsi:type="dcterms:W3CDTF">2019-09-05T12:58:00Z</dcterms:created>
  <dcterms:modified xsi:type="dcterms:W3CDTF">2026-09-16T11:12:00Z</dcterms:modified>
</cp:coreProperties>
</file>