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70" w:type="dxa"/>
        <w:tblInd w:w="108" w:type="dxa"/>
        <w:tblLayout w:type="fixed"/>
        <w:tblLook w:val="04A0" w:firstRow="1" w:lastRow="0" w:firstColumn="1" w:lastColumn="0" w:noHBand="0" w:noVBand="1"/>
      </w:tblPr>
      <w:tblGrid>
        <w:gridCol w:w="9670"/>
      </w:tblGrid>
      <w:tr w:rsidR="00FE3440" w14:paraId="31EEA298" w14:textId="77777777">
        <w:trPr>
          <w:trHeight w:val="567"/>
        </w:trPr>
        <w:tc>
          <w:tcPr>
            <w:tcW w:w="9670" w:type="dxa"/>
            <w:tcBorders>
              <w:top w:val="single" w:sz="4" w:space="0" w:color="00A290"/>
            </w:tcBorders>
            <w:vAlign w:val="center"/>
          </w:tcPr>
          <w:p w14:paraId="56C2EB42" w14:textId="3FE0F37D" w:rsidR="00FE3440" w:rsidRDefault="00BE34A3">
            <w:pPr>
              <w:spacing w:before="240" w:after="0"/>
              <w:rPr>
                <w:rFonts w:cs="Arial"/>
                <w:bCs/>
                <w:color w:val="00A290"/>
                <w:sz w:val="32"/>
                <w:szCs w:val="32"/>
              </w:rPr>
            </w:pPr>
            <w:r w:rsidRPr="00B7655A">
              <w:rPr>
                <w:rFonts w:cs="Arial"/>
                <w:bCs/>
                <w:color w:val="00A290"/>
                <w:sz w:val="32"/>
                <w:szCs w:val="32"/>
              </w:rPr>
              <w:t xml:space="preserve">Lettera per il Cliente </w:t>
            </w:r>
            <w:r>
              <w:rPr>
                <w:rFonts w:cs="Arial"/>
                <w:bCs/>
                <w:color w:val="00A290"/>
                <w:sz w:val="32"/>
                <w:szCs w:val="32"/>
              </w:rPr>
              <w:t xml:space="preserve">del </w:t>
            </w:r>
            <w:r w:rsidR="00AB7ABE">
              <w:rPr>
                <w:rFonts w:cs="Arial"/>
                <w:bCs/>
                <w:color w:val="00A290"/>
                <w:sz w:val="32"/>
                <w:szCs w:val="32"/>
              </w:rPr>
              <w:t>29</w:t>
            </w:r>
            <w:r>
              <w:rPr>
                <w:rFonts w:cs="Arial"/>
                <w:bCs/>
                <w:color w:val="00A290"/>
                <w:sz w:val="32"/>
                <w:szCs w:val="32"/>
              </w:rPr>
              <w:t xml:space="preserve"> ottobre 2026</w:t>
            </w:r>
          </w:p>
          <w:p w14:paraId="0EC836E5" w14:textId="37F0E7CA" w:rsidR="00FE3440" w:rsidRPr="0040069A" w:rsidRDefault="00AB7ABE" w:rsidP="00AB7ABE">
            <w:pPr>
              <w:spacing w:line="480" w:lineRule="atLeast"/>
              <w:rPr>
                <w:rFonts w:cs="Arial"/>
                <w:color w:val="366DB3"/>
                <w:szCs w:val="20"/>
                <w:u w:val="singl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rFonts w:cs="Arial"/>
                <w:bCs/>
                <w:color w:val="00A290"/>
                <w:sz w:val="24"/>
                <w:lang w:eastAsia="it-IT"/>
              </w:rPr>
              <w:t>SOCIO LAVORATORE DI S.R.L. E CONTRIBUTI INPS: LA RILEVANZA DEGLI UTILI NON DISTRIBUITI</w:t>
            </w:r>
          </w:p>
        </w:tc>
      </w:tr>
    </w:tbl>
    <w:p w14:paraId="546A9168" w14:textId="77777777" w:rsidR="00BE34A3" w:rsidRPr="00A10392" w:rsidRDefault="00BE34A3" w:rsidP="00A10392">
      <w:pPr>
        <w:spacing w:after="0" w:line="360" w:lineRule="atLeast"/>
        <w:jc w:val="both"/>
        <w:rPr>
          <w:rFonts w:cs="Arial"/>
          <w:b/>
          <w:sz w:val="28"/>
          <w:szCs w:val="28"/>
        </w:rPr>
      </w:pPr>
    </w:p>
    <w:p w14:paraId="17591E33" w14:textId="77777777" w:rsidR="00BE34A3" w:rsidRPr="00A10392" w:rsidRDefault="00BE34A3" w:rsidP="00A10392">
      <w:pPr>
        <w:spacing w:after="0" w:line="360" w:lineRule="atLeast"/>
        <w:jc w:val="both"/>
        <w:rPr>
          <w:rFonts w:cs="Arial"/>
          <w:b/>
          <w:sz w:val="28"/>
          <w:szCs w:val="28"/>
        </w:rPr>
      </w:pPr>
    </w:p>
    <w:p w14:paraId="2A208B70" w14:textId="79C790B6" w:rsidR="00BE34A3" w:rsidRPr="00EC0723" w:rsidRDefault="00BE34A3" w:rsidP="00BE34A3">
      <w:pPr>
        <w:spacing w:line="480" w:lineRule="atLeast"/>
        <w:rPr>
          <w:rFonts w:cs="Arial"/>
          <w:b/>
          <w:i/>
          <w:sz w:val="28"/>
          <w:szCs w:val="28"/>
        </w:rPr>
      </w:pPr>
      <w:r w:rsidRPr="00EC0723">
        <w:rPr>
          <w:rFonts w:cs="Arial"/>
          <w:b/>
          <w:i/>
          <w:sz w:val="28"/>
          <w:szCs w:val="28"/>
        </w:rPr>
        <w:t>[Carta intestata dello Studio]</w:t>
      </w:r>
    </w:p>
    <w:p w14:paraId="3D92195C" w14:textId="77777777" w:rsidR="00BE34A3" w:rsidRPr="004B33AD" w:rsidRDefault="00BE34A3" w:rsidP="00BE34A3">
      <w:pPr>
        <w:spacing w:line="480" w:lineRule="atLeast"/>
        <w:rPr>
          <w:rFonts w:cs="Arial"/>
          <w:sz w:val="22"/>
          <w:szCs w:val="22"/>
        </w:rPr>
      </w:pPr>
    </w:p>
    <w:p w14:paraId="28E3B7D0" w14:textId="77777777" w:rsidR="00BE34A3" w:rsidRDefault="00BE34A3" w:rsidP="00BE34A3">
      <w:pPr>
        <w:tabs>
          <w:tab w:val="center" w:pos="4678"/>
          <w:tab w:val="right" w:pos="9356"/>
        </w:tabs>
        <w:spacing w:line="320" w:lineRule="atLeast"/>
        <w:rPr>
          <w:rFonts w:cs="Arial"/>
          <w:sz w:val="22"/>
          <w:szCs w:val="22"/>
        </w:rPr>
      </w:pPr>
      <w:r>
        <w:rPr>
          <w:rFonts w:cs="Arial"/>
          <w:sz w:val="22"/>
          <w:szCs w:val="22"/>
        </w:rPr>
        <w:t xml:space="preserve">Spett.le </w:t>
      </w:r>
      <w:r w:rsidRPr="00D96982">
        <w:rPr>
          <w:rFonts w:cs="Arial"/>
          <w:i/>
          <w:sz w:val="22"/>
          <w:szCs w:val="22"/>
        </w:rPr>
        <w:fldChar w:fldCharType="begin"/>
      </w:r>
      <w:r w:rsidRPr="00D96982">
        <w:rPr>
          <w:rFonts w:cs="Arial"/>
          <w:i/>
          <w:sz w:val="22"/>
          <w:szCs w:val="22"/>
        </w:rPr>
        <w:instrText>MACROBUTTON NoMacro [Fare clic qui e digitare]</w:instrText>
      </w:r>
      <w:r w:rsidRPr="00D96982">
        <w:rPr>
          <w:rFonts w:cs="Arial"/>
          <w:i/>
          <w:sz w:val="22"/>
          <w:szCs w:val="22"/>
        </w:rPr>
        <w:fldChar w:fldCharType="end"/>
      </w:r>
      <w:r w:rsidRPr="00D96982">
        <w:rPr>
          <w:rFonts w:cs="Arial"/>
          <w:i/>
          <w:sz w:val="22"/>
          <w:szCs w:val="22"/>
        </w:rPr>
        <w:t xml:space="preserve"> </w:t>
      </w:r>
    </w:p>
    <w:p w14:paraId="430F74CA" w14:textId="77777777" w:rsidR="00BE34A3" w:rsidRPr="00D96982" w:rsidRDefault="00BE34A3" w:rsidP="00BE34A3">
      <w:pPr>
        <w:tabs>
          <w:tab w:val="center" w:pos="4678"/>
          <w:tab w:val="right" w:pos="9356"/>
        </w:tabs>
        <w:spacing w:line="320" w:lineRule="atLeast"/>
        <w:rPr>
          <w:rFonts w:cs="Arial"/>
          <w:i/>
          <w:sz w:val="22"/>
          <w:szCs w:val="22"/>
        </w:rPr>
      </w:pPr>
      <w:r w:rsidRPr="00D96982">
        <w:rPr>
          <w:rFonts w:cs="Arial"/>
          <w:i/>
          <w:sz w:val="22"/>
          <w:szCs w:val="22"/>
        </w:rPr>
        <w:fldChar w:fldCharType="begin"/>
      </w:r>
      <w:r w:rsidRPr="00D96982">
        <w:rPr>
          <w:rFonts w:cs="Arial"/>
          <w:i/>
          <w:sz w:val="22"/>
          <w:szCs w:val="22"/>
        </w:rPr>
        <w:instrText>MACROBUTTON NoMacro [Fare clic qui e digitare la sede]</w:instrText>
      </w:r>
      <w:r w:rsidRPr="00D96982">
        <w:rPr>
          <w:rFonts w:cs="Arial"/>
          <w:i/>
          <w:sz w:val="22"/>
          <w:szCs w:val="22"/>
        </w:rPr>
        <w:fldChar w:fldCharType="end"/>
      </w:r>
    </w:p>
    <w:p w14:paraId="43003523" w14:textId="77777777" w:rsidR="00BE34A3" w:rsidRDefault="00BE34A3" w:rsidP="00BE34A3">
      <w:pPr>
        <w:tabs>
          <w:tab w:val="center" w:pos="4678"/>
          <w:tab w:val="right" w:pos="9356"/>
        </w:tabs>
        <w:spacing w:line="320" w:lineRule="atLeast"/>
        <w:rPr>
          <w:rFonts w:cs="Arial"/>
          <w:sz w:val="22"/>
          <w:szCs w:val="22"/>
        </w:rPr>
      </w:pPr>
    </w:p>
    <w:p w14:paraId="7A034BB0" w14:textId="77777777" w:rsidR="00BE34A3" w:rsidRDefault="00BE34A3" w:rsidP="00BE34A3">
      <w:pPr>
        <w:tabs>
          <w:tab w:val="center" w:pos="4678"/>
          <w:tab w:val="right" w:pos="9356"/>
        </w:tabs>
        <w:spacing w:line="320" w:lineRule="atLeast"/>
        <w:rPr>
          <w:rFonts w:cs="Arial"/>
          <w:i/>
          <w:sz w:val="22"/>
          <w:szCs w:val="22"/>
        </w:rPr>
      </w:pPr>
      <w:r w:rsidRPr="00D96982">
        <w:rPr>
          <w:rFonts w:cs="Arial"/>
          <w:i/>
          <w:sz w:val="22"/>
          <w:szCs w:val="22"/>
        </w:rPr>
        <w:fldChar w:fldCharType="begin"/>
      </w:r>
      <w:r w:rsidRPr="00D96982">
        <w:rPr>
          <w:rFonts w:cs="Arial"/>
          <w:i/>
          <w:sz w:val="22"/>
          <w:szCs w:val="22"/>
        </w:rPr>
        <w:instrText>MACROBUTTON NoMacro [Fare clic qui e digitare luogo e data]</w:instrText>
      </w:r>
      <w:r w:rsidRPr="00D96982">
        <w:rPr>
          <w:rFonts w:cs="Arial"/>
          <w:i/>
          <w:sz w:val="22"/>
          <w:szCs w:val="22"/>
        </w:rPr>
        <w:fldChar w:fldCharType="end"/>
      </w:r>
    </w:p>
    <w:p w14:paraId="45C4E799" w14:textId="77777777" w:rsidR="00BE34A3" w:rsidRDefault="00BE34A3" w:rsidP="00BE34A3">
      <w:pPr>
        <w:spacing w:after="0" w:line="360" w:lineRule="atLeast"/>
        <w:jc w:val="both"/>
        <w:rPr>
          <w:rFonts w:cs="Arial"/>
          <w:b/>
          <w:sz w:val="28"/>
          <w:szCs w:val="28"/>
        </w:rPr>
      </w:pPr>
    </w:p>
    <w:p w14:paraId="2DF5BB0A" w14:textId="77777777" w:rsidR="00BE34A3" w:rsidRDefault="00BE34A3" w:rsidP="00BE34A3">
      <w:pPr>
        <w:spacing w:after="0" w:line="360" w:lineRule="atLeast"/>
        <w:jc w:val="both"/>
        <w:rPr>
          <w:rFonts w:cs="Arial"/>
          <w:b/>
          <w:sz w:val="28"/>
          <w:szCs w:val="28"/>
        </w:rPr>
      </w:pPr>
    </w:p>
    <w:p w14:paraId="73DBD4B0" w14:textId="77777777" w:rsidR="00AB7ABE" w:rsidRDefault="00AB7ABE" w:rsidP="00AB7ABE">
      <w:pPr>
        <w:spacing w:line="360" w:lineRule="atLeast"/>
        <w:jc w:val="both"/>
        <w:rPr>
          <w:rFonts w:cs="Arial"/>
          <w:b/>
          <w:sz w:val="28"/>
          <w:szCs w:val="28"/>
        </w:rPr>
      </w:pPr>
      <w:r>
        <w:rPr>
          <w:rFonts w:cs="Arial"/>
          <w:b/>
          <w:sz w:val="28"/>
          <w:szCs w:val="28"/>
        </w:rPr>
        <w:t xml:space="preserve">OGGETTO: </w:t>
      </w:r>
      <w:r w:rsidRPr="00B422D5">
        <w:rPr>
          <w:rFonts w:cs="Arial"/>
          <w:b/>
          <w:sz w:val="28"/>
          <w:szCs w:val="28"/>
        </w:rPr>
        <w:t xml:space="preserve">Socio lavoratore di </w:t>
      </w:r>
      <w:r>
        <w:rPr>
          <w:rFonts w:cs="Arial"/>
          <w:b/>
          <w:sz w:val="28"/>
          <w:szCs w:val="28"/>
        </w:rPr>
        <w:t>s</w:t>
      </w:r>
      <w:r w:rsidRPr="00B422D5">
        <w:rPr>
          <w:rFonts w:cs="Arial"/>
          <w:b/>
          <w:sz w:val="28"/>
          <w:szCs w:val="28"/>
        </w:rPr>
        <w:t>.r.l. e contributi INPS: la rilevanza degli utili non distribuiti</w:t>
      </w:r>
    </w:p>
    <w:p w14:paraId="537B6A48" w14:textId="77777777" w:rsidR="00AB7ABE" w:rsidRPr="00B422D5" w:rsidRDefault="00AB7ABE" w:rsidP="00AB7ABE">
      <w:pPr>
        <w:spacing w:line="360" w:lineRule="atLeast"/>
        <w:jc w:val="both"/>
        <w:rPr>
          <w:rFonts w:cs="Arial"/>
          <w:sz w:val="22"/>
          <w:szCs w:val="22"/>
        </w:rPr>
      </w:pPr>
    </w:p>
    <w:p w14:paraId="40A94038" w14:textId="77777777" w:rsidR="00AB7ABE" w:rsidRPr="00B422D5" w:rsidRDefault="00AB7ABE" w:rsidP="00AB7ABE">
      <w:pPr>
        <w:spacing w:line="360" w:lineRule="atLeast"/>
        <w:jc w:val="both"/>
        <w:rPr>
          <w:rFonts w:cs="Arial"/>
          <w:sz w:val="22"/>
          <w:szCs w:val="22"/>
        </w:rPr>
      </w:pPr>
      <w:r w:rsidRPr="00B422D5">
        <w:rPr>
          <w:rFonts w:cs="Arial"/>
          <w:sz w:val="22"/>
          <w:szCs w:val="22"/>
        </w:rPr>
        <w:t xml:space="preserve">Con la sentenza n. 25377 del 16 settembre 2026, la Sezione Lavoro della Corte di Cassazione ha affrontato una questione inedita e complessa in materia di contribuzione previdenziale: la determinazione della base imponibile per il socio di società a responsabilità limitata che presti attività lavorativa abituale e prevalente all'interno dell'impresa. Il contenzioso ha opposto l'INPS alla socia unica e amministratrice di una </w:t>
      </w:r>
      <w:r>
        <w:rPr>
          <w:rFonts w:cs="Arial"/>
          <w:sz w:val="22"/>
          <w:szCs w:val="22"/>
        </w:rPr>
        <w:t>s</w:t>
      </w:r>
      <w:r w:rsidRPr="00B422D5">
        <w:rPr>
          <w:rFonts w:cs="Arial"/>
          <w:sz w:val="22"/>
          <w:szCs w:val="22"/>
        </w:rPr>
        <w:t>.r.l., destinataria di avvisi di addebito per contributi a percentuale pretesi dall'Istituto alla Gestione Commercianti per le annualità 2015 e 2017 sugli</w:t>
      </w:r>
      <w:r>
        <w:rPr>
          <w:rFonts w:cs="Arial"/>
          <w:sz w:val="22"/>
          <w:szCs w:val="22"/>
        </w:rPr>
        <w:t xml:space="preserve"> </w:t>
      </w:r>
      <w:r w:rsidRPr="00B422D5">
        <w:rPr>
          <w:rFonts w:cs="Arial"/>
          <w:b/>
          <w:bCs/>
          <w:sz w:val="22"/>
          <w:szCs w:val="22"/>
        </w:rPr>
        <w:t>utili societari accantonati a bilancio e non distribuiti</w:t>
      </w:r>
      <w:r w:rsidRPr="00B422D5">
        <w:rPr>
          <w:rFonts w:cs="Arial"/>
          <w:sz w:val="22"/>
          <w:szCs w:val="22"/>
        </w:rPr>
        <w:t>.</w:t>
      </w:r>
    </w:p>
    <w:p w14:paraId="38118C0C" w14:textId="77777777" w:rsidR="00AB7ABE" w:rsidRPr="00B422D5" w:rsidRDefault="00AB7ABE" w:rsidP="00AB7ABE">
      <w:pPr>
        <w:spacing w:line="360" w:lineRule="atLeast"/>
        <w:jc w:val="both"/>
        <w:rPr>
          <w:rFonts w:cs="Arial"/>
          <w:sz w:val="22"/>
          <w:szCs w:val="22"/>
        </w:rPr>
      </w:pPr>
    </w:p>
    <w:p w14:paraId="14366AD3" w14:textId="77777777" w:rsidR="00AB7ABE" w:rsidRPr="00B422D5" w:rsidRDefault="00AB7ABE" w:rsidP="00AB7ABE">
      <w:pPr>
        <w:spacing w:line="360" w:lineRule="atLeast"/>
        <w:jc w:val="both"/>
        <w:rPr>
          <w:rFonts w:cs="Arial"/>
          <w:sz w:val="22"/>
          <w:szCs w:val="22"/>
        </w:rPr>
      </w:pPr>
      <w:r w:rsidRPr="00B422D5">
        <w:rPr>
          <w:rFonts w:cs="Arial"/>
          <w:sz w:val="22"/>
          <w:szCs w:val="22"/>
        </w:rPr>
        <w:t>Nonostante le conclusioni contrarie del Procuratore Generale, favorevole all'accoglimento del ricorso dell'ente pubblico, la Suprema Corte ha respinto l'impugnazione dell'Istituto e compensato integralmente le spese di lite in virtù della novità e complessità delle questioni trattate.</w:t>
      </w:r>
    </w:p>
    <w:p w14:paraId="06ACD88D" w14:textId="77777777" w:rsidR="00AB7ABE" w:rsidRPr="00B422D5" w:rsidRDefault="00AB7ABE" w:rsidP="00AB7ABE">
      <w:pPr>
        <w:spacing w:line="360" w:lineRule="atLeast"/>
        <w:jc w:val="both"/>
        <w:rPr>
          <w:rFonts w:cs="Arial"/>
          <w:sz w:val="22"/>
          <w:szCs w:val="22"/>
        </w:rPr>
      </w:pPr>
    </w:p>
    <w:p w14:paraId="2FFC6008" w14:textId="77777777" w:rsidR="00AB7ABE" w:rsidRPr="00921EDA" w:rsidRDefault="00AB7ABE" w:rsidP="00AB7ABE">
      <w:pPr>
        <w:spacing w:line="360" w:lineRule="atLeast"/>
        <w:jc w:val="both"/>
        <w:rPr>
          <w:rFonts w:cs="Arial"/>
        </w:rPr>
      </w:pPr>
      <w:r w:rsidRPr="00921EDA">
        <w:rPr>
          <w:rFonts w:cs="Arial"/>
          <w:b/>
          <w:bCs/>
        </w:rPr>
        <w:t>Il presupposto soggettivo e la distinzione rispetto ai precedenti</w:t>
      </w:r>
    </w:p>
    <w:p w14:paraId="7FFCDF54" w14:textId="77777777" w:rsidR="00AB7ABE" w:rsidRPr="00B422D5" w:rsidRDefault="00AB7ABE" w:rsidP="00AB7ABE">
      <w:pPr>
        <w:spacing w:line="360" w:lineRule="atLeast"/>
        <w:jc w:val="both"/>
        <w:rPr>
          <w:rFonts w:cs="Arial"/>
          <w:sz w:val="22"/>
          <w:szCs w:val="22"/>
        </w:rPr>
      </w:pPr>
      <w:r w:rsidRPr="00B422D5">
        <w:rPr>
          <w:rFonts w:cs="Arial"/>
          <w:sz w:val="22"/>
          <w:szCs w:val="22"/>
        </w:rPr>
        <w:t xml:space="preserve">L'ambito di applicazione della pronuncia riguarda specificamente la figura del socio lavoratore che partecipa al lavoro aziendale con </w:t>
      </w:r>
      <w:r w:rsidRPr="00921EDA">
        <w:rPr>
          <w:rFonts w:cs="Arial"/>
          <w:b/>
          <w:bCs/>
          <w:sz w:val="22"/>
          <w:szCs w:val="22"/>
        </w:rPr>
        <w:t>carattere di abitualità e prevalenza</w:t>
      </w:r>
      <w:r w:rsidRPr="00B422D5">
        <w:rPr>
          <w:rFonts w:cs="Arial"/>
          <w:sz w:val="22"/>
          <w:szCs w:val="22"/>
        </w:rPr>
        <w:t>, presupposto da cui discende l'obbligo di iscrizione alla Gestione Commercianti.</w:t>
      </w:r>
    </w:p>
    <w:p w14:paraId="2310A436" w14:textId="77777777" w:rsidR="00AB7ABE" w:rsidRPr="00B422D5" w:rsidRDefault="00AB7ABE" w:rsidP="00AB7ABE">
      <w:pPr>
        <w:spacing w:line="360" w:lineRule="atLeast"/>
        <w:jc w:val="both"/>
        <w:rPr>
          <w:rFonts w:cs="Arial"/>
          <w:sz w:val="22"/>
          <w:szCs w:val="22"/>
        </w:rPr>
      </w:pPr>
      <w:r w:rsidRPr="00B422D5">
        <w:rPr>
          <w:rFonts w:cs="Arial"/>
          <w:sz w:val="22"/>
          <w:szCs w:val="22"/>
        </w:rPr>
        <w:t xml:space="preserve">La fattispecie si differenzia nettamente dall'orientamento giurisprudenziale formatosi sulla posizione del socio che partecipa al capitale sociale senza svolgere attività lavorativa nell'impresa. Precedenti quali </w:t>
      </w:r>
      <w:proofErr w:type="spellStart"/>
      <w:r w:rsidRPr="00B422D5">
        <w:rPr>
          <w:rFonts w:cs="Arial"/>
          <w:sz w:val="22"/>
          <w:szCs w:val="22"/>
        </w:rPr>
        <w:t>Cass</w:t>
      </w:r>
      <w:proofErr w:type="spellEnd"/>
      <w:r w:rsidRPr="00B422D5">
        <w:rPr>
          <w:rFonts w:cs="Arial"/>
          <w:sz w:val="22"/>
          <w:szCs w:val="22"/>
        </w:rPr>
        <w:t xml:space="preserve">. n. 21540/2019 e </w:t>
      </w:r>
      <w:proofErr w:type="spellStart"/>
      <w:r w:rsidRPr="00B422D5">
        <w:rPr>
          <w:rFonts w:cs="Arial"/>
          <w:sz w:val="22"/>
          <w:szCs w:val="22"/>
        </w:rPr>
        <w:t>Cass</w:t>
      </w:r>
      <w:proofErr w:type="spellEnd"/>
      <w:r w:rsidRPr="00B422D5">
        <w:rPr>
          <w:rFonts w:cs="Arial"/>
          <w:sz w:val="22"/>
          <w:szCs w:val="22"/>
        </w:rPr>
        <w:t xml:space="preserve">. n. 23790/2019 avevano già escluso dalla base imponibile del lavoratore già iscritto alla gestione per altra attività gli utili derivanti dalla mera partecipazione a una società di capitali in cui non presti alcuna opera. Tale indirizzo è stato consolidato da pronunce successive (tra cui </w:t>
      </w:r>
      <w:proofErr w:type="spellStart"/>
      <w:r w:rsidRPr="00B422D5">
        <w:rPr>
          <w:rFonts w:cs="Arial"/>
          <w:sz w:val="22"/>
          <w:szCs w:val="22"/>
        </w:rPr>
        <w:t>Cass</w:t>
      </w:r>
      <w:proofErr w:type="spellEnd"/>
      <w:r w:rsidRPr="00B422D5">
        <w:rPr>
          <w:rFonts w:cs="Arial"/>
          <w:sz w:val="22"/>
          <w:szCs w:val="22"/>
        </w:rPr>
        <w:t>. n. 22901/2024 e le ordinanze n. 11206 e n. 11156 del 2022) con orientamento recepito anche dalla Circolare INPS n. 84 del 10 giugno 2021.</w:t>
      </w:r>
    </w:p>
    <w:p w14:paraId="5078677C" w14:textId="77777777" w:rsidR="00AB7ABE" w:rsidRPr="00B422D5" w:rsidRDefault="00AB7ABE" w:rsidP="00AB7ABE">
      <w:pPr>
        <w:spacing w:line="360" w:lineRule="atLeast"/>
        <w:jc w:val="both"/>
        <w:rPr>
          <w:rFonts w:cs="Arial"/>
          <w:sz w:val="22"/>
          <w:szCs w:val="22"/>
        </w:rPr>
      </w:pPr>
      <w:r w:rsidRPr="00B422D5">
        <w:rPr>
          <w:rFonts w:cs="Arial"/>
          <w:sz w:val="22"/>
          <w:szCs w:val="22"/>
        </w:rPr>
        <w:t>Nella controversia decisa da</w:t>
      </w:r>
      <w:r>
        <w:rPr>
          <w:rFonts w:cs="Arial"/>
          <w:sz w:val="22"/>
          <w:szCs w:val="22"/>
        </w:rPr>
        <w:t>lla</w:t>
      </w:r>
      <w:r w:rsidRPr="00B422D5">
        <w:rPr>
          <w:rFonts w:cs="Arial"/>
          <w:sz w:val="22"/>
          <w:szCs w:val="22"/>
        </w:rPr>
        <w:t xml:space="preserve"> </w:t>
      </w:r>
      <w:r>
        <w:rPr>
          <w:rFonts w:cs="Arial"/>
          <w:sz w:val="22"/>
          <w:szCs w:val="22"/>
        </w:rPr>
        <w:t xml:space="preserve">Corte di </w:t>
      </w:r>
      <w:r w:rsidRPr="00B422D5">
        <w:rPr>
          <w:rFonts w:cs="Arial"/>
          <w:sz w:val="22"/>
          <w:szCs w:val="22"/>
        </w:rPr>
        <w:t>Cass</w:t>
      </w:r>
      <w:r>
        <w:rPr>
          <w:rFonts w:cs="Arial"/>
          <w:sz w:val="22"/>
          <w:szCs w:val="22"/>
        </w:rPr>
        <w:t>azione nella sentenza</w:t>
      </w:r>
      <w:r w:rsidRPr="00B422D5">
        <w:rPr>
          <w:rFonts w:cs="Arial"/>
          <w:sz w:val="22"/>
          <w:szCs w:val="22"/>
        </w:rPr>
        <w:t xml:space="preserve"> n. 25377/2026, invece, l'obbligo assicurativo sussisteva a monte in virtù dell'attività svolta; la lite riguardava la </w:t>
      </w:r>
      <w:r w:rsidRPr="00921EDA">
        <w:rPr>
          <w:rFonts w:cs="Arial"/>
          <w:b/>
          <w:bCs/>
          <w:sz w:val="22"/>
          <w:szCs w:val="22"/>
        </w:rPr>
        <w:t>quantificazione della contribuzione a percentuale calcolata sugli utili</w:t>
      </w:r>
      <w:r w:rsidRPr="00B422D5">
        <w:rPr>
          <w:rFonts w:cs="Arial"/>
          <w:sz w:val="22"/>
          <w:szCs w:val="22"/>
        </w:rPr>
        <w:t xml:space="preserve"> della medesima </w:t>
      </w:r>
      <w:r>
        <w:rPr>
          <w:rFonts w:cs="Arial"/>
          <w:sz w:val="22"/>
          <w:szCs w:val="22"/>
        </w:rPr>
        <w:t>s</w:t>
      </w:r>
      <w:r w:rsidRPr="00B422D5">
        <w:rPr>
          <w:rFonts w:cs="Arial"/>
          <w:sz w:val="22"/>
          <w:szCs w:val="22"/>
        </w:rPr>
        <w:t xml:space="preserve">.r.l. </w:t>
      </w:r>
      <w:r w:rsidRPr="00921EDA">
        <w:rPr>
          <w:rFonts w:cs="Arial"/>
          <w:b/>
          <w:bCs/>
          <w:sz w:val="22"/>
          <w:szCs w:val="22"/>
        </w:rPr>
        <w:t>accantonati a riserva</w:t>
      </w:r>
      <w:r w:rsidRPr="00B422D5">
        <w:rPr>
          <w:rFonts w:cs="Arial"/>
          <w:sz w:val="22"/>
          <w:szCs w:val="22"/>
        </w:rPr>
        <w:t>. La Corte precisa che la decisione non esonera il socio dall'obbligazione previdenziale nel suo complesso: resta confermata la tutela assicurativa primaria garantita dal versamento dei contributi parametrati su un livello minimo imponibile.</w:t>
      </w:r>
    </w:p>
    <w:p w14:paraId="3626DEE8" w14:textId="77777777" w:rsidR="00AB7ABE" w:rsidRPr="00B422D5" w:rsidRDefault="00AB7ABE" w:rsidP="00AB7ABE">
      <w:pPr>
        <w:spacing w:line="360" w:lineRule="atLeast"/>
        <w:jc w:val="both"/>
        <w:rPr>
          <w:rFonts w:cs="Arial"/>
          <w:sz w:val="22"/>
          <w:szCs w:val="22"/>
        </w:rPr>
      </w:pPr>
    </w:p>
    <w:p w14:paraId="0C42427A" w14:textId="77777777" w:rsidR="00AB7ABE" w:rsidRPr="00921EDA" w:rsidRDefault="00AB7ABE" w:rsidP="00AB7ABE">
      <w:pPr>
        <w:spacing w:line="360" w:lineRule="atLeast"/>
        <w:jc w:val="both"/>
        <w:rPr>
          <w:rFonts w:cs="Arial"/>
        </w:rPr>
      </w:pPr>
      <w:r w:rsidRPr="00921EDA">
        <w:rPr>
          <w:rFonts w:cs="Arial"/>
          <w:b/>
          <w:bCs/>
        </w:rPr>
        <w:t>Il quadro normativo e il criterio di imputazione giuridica</w:t>
      </w:r>
    </w:p>
    <w:p w14:paraId="64FCEDC7" w14:textId="77777777" w:rsidR="00AB7ABE" w:rsidRPr="00B422D5" w:rsidRDefault="00AB7ABE" w:rsidP="00AB7ABE">
      <w:pPr>
        <w:spacing w:line="360" w:lineRule="atLeast"/>
        <w:jc w:val="both"/>
        <w:rPr>
          <w:rFonts w:cs="Arial"/>
          <w:sz w:val="22"/>
          <w:szCs w:val="22"/>
        </w:rPr>
      </w:pPr>
      <w:r w:rsidRPr="00B422D5">
        <w:rPr>
          <w:rFonts w:cs="Arial"/>
          <w:sz w:val="22"/>
          <w:szCs w:val="22"/>
        </w:rPr>
        <w:t>Nel ricorso per cassazione, l'INPS deduceva la violazione dell'art. 3-bis del D.L. n. 384/1992 (introdotto dalla legge di conversione n. 438/1992) e dell'art. 81 del D.P.R. n. 917/1986 (TUIR), sostenendo che la contribuzione dovesse commisurarsi al reddito complessivo prodotto dalla società in quanto conseguibile in astratto dal lavoratore autonomo e non solo su quello materialmente percepito. Secondo l'Istituto, rimettere la misura dell'imponibile alla decisione di non distribuire gli utili – riconducibile alla volontà della stessa lavoratrice, socia unica e amministratrice – si porrebbe in contrasto con il principio solidaristico. A sua volta, la Procura Generale argomentava che tale lettura affievolirebbe l'indisponibilità dell'obbligazione contributiva, rimettendone l'ammontare alla scelta dell'obbligato.</w:t>
      </w:r>
    </w:p>
    <w:p w14:paraId="563AD29E" w14:textId="77777777" w:rsidR="00AB7ABE" w:rsidRPr="00B422D5" w:rsidRDefault="00AB7ABE" w:rsidP="00AB7ABE">
      <w:pPr>
        <w:spacing w:line="360" w:lineRule="atLeast"/>
        <w:jc w:val="both"/>
        <w:rPr>
          <w:rFonts w:cs="Arial"/>
          <w:sz w:val="22"/>
          <w:szCs w:val="22"/>
        </w:rPr>
      </w:pPr>
      <w:r w:rsidRPr="00B422D5">
        <w:rPr>
          <w:rFonts w:cs="Arial"/>
          <w:sz w:val="22"/>
          <w:szCs w:val="22"/>
        </w:rPr>
        <w:t xml:space="preserve">Nel ricostruire il quadro applicabile, la Cassazione richiama i principi stabiliti dalle Sezioni Unite con la sentenza n. 3240/2010, secondo cui l'imponibile contributivo del socio lavoratore si determina sulla parte di reddito d'impresa dichiarato dalla </w:t>
      </w:r>
      <w:r>
        <w:rPr>
          <w:rFonts w:cs="Arial"/>
          <w:sz w:val="22"/>
          <w:szCs w:val="22"/>
        </w:rPr>
        <w:t>s</w:t>
      </w:r>
      <w:r w:rsidRPr="00B422D5">
        <w:rPr>
          <w:rFonts w:cs="Arial"/>
          <w:sz w:val="22"/>
          <w:szCs w:val="22"/>
        </w:rPr>
        <w:t>.r.l. ai fini fiscali a lui attribuita in proporzione alla quota di partecipazione. Nel definire le condizioni di tale attribuzione, il Collegio supera la dicotomia tra reddito percepito e non percepito (punto 16 della motivazione), rimarcando che il profilo determinante risiede nell'imputazione giuridica del reddito all'obbligato:</w:t>
      </w:r>
    </w:p>
    <w:p w14:paraId="29AEE3BF" w14:textId="77777777" w:rsidR="00AB7ABE" w:rsidRPr="00B422D5" w:rsidRDefault="00AB7ABE" w:rsidP="00AB7ABE">
      <w:pPr>
        <w:numPr>
          <w:ilvl w:val="0"/>
          <w:numId w:val="11"/>
        </w:numPr>
        <w:suppressAutoHyphens w:val="0"/>
        <w:spacing w:after="0" w:line="360" w:lineRule="atLeast"/>
        <w:jc w:val="both"/>
        <w:rPr>
          <w:rFonts w:cs="Arial"/>
          <w:sz w:val="22"/>
          <w:szCs w:val="22"/>
        </w:rPr>
      </w:pPr>
      <w:r>
        <w:rPr>
          <w:rFonts w:cs="Arial"/>
          <w:b/>
          <w:bCs/>
          <w:sz w:val="22"/>
          <w:szCs w:val="22"/>
        </w:rPr>
        <w:t>t</w:t>
      </w:r>
      <w:r w:rsidRPr="00B422D5">
        <w:rPr>
          <w:rFonts w:cs="Arial"/>
          <w:b/>
          <w:bCs/>
          <w:sz w:val="22"/>
          <w:szCs w:val="22"/>
        </w:rPr>
        <w:t>itolarità del reddito societario</w:t>
      </w:r>
      <w:r w:rsidRPr="00B422D5">
        <w:rPr>
          <w:rFonts w:cs="Arial"/>
          <w:sz w:val="22"/>
          <w:szCs w:val="22"/>
        </w:rPr>
        <w:t>: nelle società di capitali, a differenza delle società di persone (art. 5</w:t>
      </w:r>
      <w:r>
        <w:rPr>
          <w:rFonts w:cs="Arial"/>
          <w:sz w:val="22"/>
          <w:szCs w:val="22"/>
        </w:rPr>
        <w:t>,</w:t>
      </w:r>
      <w:r w:rsidRPr="00B422D5">
        <w:rPr>
          <w:rFonts w:cs="Arial"/>
          <w:sz w:val="22"/>
          <w:szCs w:val="22"/>
        </w:rPr>
        <w:t xml:space="preserve"> TUIR), il reddito non distribuito né imputato per legge appartiene alla persona giuridica ed è dichiarato ai fini IRES; esso non costituisce reddito proprio dell'obbligato persona fisica</w:t>
      </w:r>
      <w:r>
        <w:rPr>
          <w:rFonts w:cs="Arial"/>
          <w:sz w:val="22"/>
          <w:szCs w:val="22"/>
        </w:rPr>
        <w:t>;</w:t>
      </w:r>
    </w:p>
    <w:p w14:paraId="3563E2E4" w14:textId="77777777" w:rsidR="00AB7ABE" w:rsidRPr="00B422D5" w:rsidRDefault="00AB7ABE" w:rsidP="00AB7ABE">
      <w:pPr>
        <w:numPr>
          <w:ilvl w:val="0"/>
          <w:numId w:val="11"/>
        </w:numPr>
        <w:suppressAutoHyphens w:val="0"/>
        <w:spacing w:after="0" w:line="360" w:lineRule="atLeast"/>
        <w:jc w:val="both"/>
        <w:rPr>
          <w:rFonts w:cs="Arial"/>
          <w:sz w:val="22"/>
          <w:szCs w:val="22"/>
        </w:rPr>
      </w:pPr>
      <w:r>
        <w:rPr>
          <w:rFonts w:cs="Arial"/>
          <w:b/>
          <w:bCs/>
          <w:sz w:val="22"/>
          <w:szCs w:val="22"/>
        </w:rPr>
        <w:t>p</w:t>
      </w:r>
      <w:r w:rsidRPr="00B422D5">
        <w:rPr>
          <w:rFonts w:cs="Arial"/>
          <w:b/>
          <w:bCs/>
          <w:sz w:val="22"/>
          <w:szCs w:val="22"/>
        </w:rPr>
        <w:t>resupposto della dichiarazione IRPEF</w:t>
      </w:r>
      <w:r w:rsidRPr="00B422D5">
        <w:rPr>
          <w:rFonts w:cs="Arial"/>
          <w:sz w:val="22"/>
          <w:szCs w:val="22"/>
        </w:rPr>
        <w:t>: la condizione per includere il reddito d'impresa nella base contributiva è che esso sia dichiarato ai fini IRPEF dal socio. La dichiarazione postula la materiale percezione del dividendo, salvo il verificarsi di regimi speciali di imputazione</w:t>
      </w:r>
      <w:r>
        <w:rPr>
          <w:rFonts w:cs="Arial"/>
          <w:sz w:val="22"/>
          <w:szCs w:val="22"/>
        </w:rPr>
        <w:t>;</w:t>
      </w:r>
    </w:p>
    <w:p w14:paraId="540409C3" w14:textId="77777777" w:rsidR="00AB7ABE" w:rsidRPr="00B422D5" w:rsidRDefault="00AB7ABE" w:rsidP="00AB7ABE">
      <w:pPr>
        <w:numPr>
          <w:ilvl w:val="0"/>
          <w:numId w:val="11"/>
        </w:numPr>
        <w:suppressAutoHyphens w:val="0"/>
        <w:spacing w:after="0" w:line="360" w:lineRule="atLeast"/>
        <w:jc w:val="both"/>
        <w:rPr>
          <w:rFonts w:cs="Arial"/>
          <w:sz w:val="22"/>
          <w:szCs w:val="22"/>
        </w:rPr>
      </w:pPr>
      <w:r>
        <w:rPr>
          <w:rFonts w:cs="Arial"/>
          <w:b/>
          <w:bCs/>
          <w:sz w:val="22"/>
          <w:szCs w:val="22"/>
        </w:rPr>
        <w:t>l</w:t>
      </w:r>
      <w:r w:rsidRPr="00B422D5">
        <w:rPr>
          <w:rFonts w:cs="Arial"/>
          <w:b/>
          <w:bCs/>
          <w:sz w:val="22"/>
          <w:szCs w:val="22"/>
        </w:rPr>
        <w:t>'opzione per la trasparenza fiscale</w:t>
      </w:r>
      <w:r w:rsidRPr="00B422D5">
        <w:rPr>
          <w:rFonts w:cs="Arial"/>
          <w:sz w:val="22"/>
          <w:szCs w:val="22"/>
        </w:rPr>
        <w:t xml:space="preserve">: qualora la società eserciti l'opzione per la trasparenza ex artt. 115 e 116 del TUIR (e, con decorrenza dal 1° gennaio 2027, artt. 124 e 125 del </w:t>
      </w:r>
      <w:proofErr w:type="spellStart"/>
      <w:r w:rsidRPr="00B422D5">
        <w:rPr>
          <w:rFonts w:cs="Arial"/>
          <w:sz w:val="22"/>
          <w:szCs w:val="22"/>
        </w:rPr>
        <w:t>D.Lgs.</w:t>
      </w:r>
      <w:proofErr w:type="spellEnd"/>
      <w:r w:rsidRPr="00B422D5">
        <w:rPr>
          <w:rFonts w:cs="Arial"/>
          <w:sz w:val="22"/>
          <w:szCs w:val="22"/>
        </w:rPr>
        <w:t xml:space="preserve"> n. 117/2026), gli utili sono imputati automaticamente a ciascun socio a prescindere dall'inca</w:t>
      </w:r>
      <w:r w:rsidRPr="00B422D5">
        <w:rPr>
          <w:rFonts w:cs="Arial"/>
          <w:sz w:val="22"/>
          <w:szCs w:val="22"/>
        </w:rPr>
        <w:t>s</w:t>
      </w:r>
      <w:r w:rsidRPr="00B422D5">
        <w:rPr>
          <w:rFonts w:cs="Arial"/>
          <w:sz w:val="22"/>
          <w:szCs w:val="22"/>
        </w:rPr>
        <w:t>so, confluendo nella dichiarazione IRPEF e, di conseguenza, nella base contributiva.</w:t>
      </w:r>
    </w:p>
    <w:p w14:paraId="39F75BE0" w14:textId="77777777" w:rsidR="00AB7ABE" w:rsidRPr="00B422D5" w:rsidRDefault="00AB7ABE" w:rsidP="00AB7ABE">
      <w:pPr>
        <w:spacing w:line="360" w:lineRule="atLeast"/>
        <w:jc w:val="both"/>
        <w:rPr>
          <w:rFonts w:cs="Arial"/>
          <w:sz w:val="22"/>
          <w:szCs w:val="22"/>
        </w:rPr>
      </w:pPr>
    </w:p>
    <w:p w14:paraId="618C78A4" w14:textId="77777777" w:rsidR="00AB7ABE" w:rsidRPr="003818F9" w:rsidRDefault="00AB7ABE" w:rsidP="00AB7ABE">
      <w:pPr>
        <w:spacing w:line="360" w:lineRule="atLeast"/>
        <w:jc w:val="both"/>
        <w:rPr>
          <w:rFonts w:cs="Arial"/>
        </w:rPr>
      </w:pPr>
      <w:r w:rsidRPr="003818F9">
        <w:rPr>
          <w:rFonts w:cs="Arial"/>
          <w:b/>
          <w:bCs/>
        </w:rPr>
        <w:t>Fondamenti della decisione: lettera della legge, riserva di legge e convergenza fiscale</w:t>
      </w:r>
    </w:p>
    <w:p w14:paraId="64FD045E" w14:textId="77777777" w:rsidR="00AB7ABE" w:rsidRPr="00B422D5" w:rsidRDefault="00AB7ABE" w:rsidP="00AB7ABE">
      <w:pPr>
        <w:spacing w:line="360" w:lineRule="atLeast"/>
        <w:jc w:val="both"/>
        <w:rPr>
          <w:rFonts w:cs="Arial"/>
          <w:sz w:val="22"/>
          <w:szCs w:val="22"/>
        </w:rPr>
      </w:pPr>
      <w:r w:rsidRPr="00B13AC1">
        <w:rPr>
          <w:rFonts w:cs="Arial"/>
          <w:sz w:val="22"/>
          <w:szCs w:val="22"/>
        </w:rPr>
        <w:t>La Cassazione è giunta a respingere la pretesa dell'INPS articolando la motivazione su specifici principi normativi e costituzionali:</w:t>
      </w:r>
    </w:p>
    <w:p w14:paraId="599D6D5A" w14:textId="77777777" w:rsidR="00AB7ABE" w:rsidRPr="00B422D5" w:rsidRDefault="00AB7ABE" w:rsidP="00AB7ABE">
      <w:pPr>
        <w:numPr>
          <w:ilvl w:val="0"/>
          <w:numId w:val="12"/>
        </w:numPr>
        <w:suppressAutoHyphens w:val="0"/>
        <w:spacing w:after="0" w:line="360" w:lineRule="atLeast"/>
        <w:jc w:val="both"/>
        <w:rPr>
          <w:rFonts w:cs="Arial"/>
          <w:sz w:val="22"/>
          <w:szCs w:val="22"/>
        </w:rPr>
      </w:pPr>
      <w:r>
        <w:rPr>
          <w:rFonts w:cs="Arial"/>
          <w:b/>
          <w:bCs/>
          <w:sz w:val="22"/>
          <w:szCs w:val="22"/>
        </w:rPr>
        <w:t>d</w:t>
      </w:r>
      <w:r w:rsidRPr="00B422D5">
        <w:rPr>
          <w:rFonts w:cs="Arial"/>
          <w:b/>
          <w:bCs/>
          <w:sz w:val="22"/>
          <w:szCs w:val="22"/>
        </w:rPr>
        <w:t>ato letterale</w:t>
      </w:r>
      <w:r w:rsidRPr="003818F9">
        <w:rPr>
          <w:rFonts w:cs="Arial"/>
          <w:sz w:val="22"/>
          <w:szCs w:val="22"/>
        </w:rPr>
        <w:t xml:space="preserve"> (art. 3-bis</w:t>
      </w:r>
      <w:r>
        <w:rPr>
          <w:rFonts w:cs="Arial"/>
          <w:sz w:val="22"/>
          <w:szCs w:val="22"/>
        </w:rPr>
        <w:t>,</w:t>
      </w:r>
      <w:r w:rsidRPr="003818F9">
        <w:rPr>
          <w:rFonts w:cs="Arial"/>
          <w:sz w:val="22"/>
          <w:szCs w:val="22"/>
        </w:rPr>
        <w:t xml:space="preserve"> D.L. n. 384/1992): </w:t>
      </w:r>
      <w:r w:rsidRPr="00B422D5">
        <w:rPr>
          <w:rFonts w:cs="Arial"/>
          <w:sz w:val="22"/>
          <w:szCs w:val="22"/>
        </w:rPr>
        <w:t xml:space="preserve">la norma ancora in modo esplicito il contributo alla totalità dei redditi d'impresa </w:t>
      </w:r>
      <w:r>
        <w:rPr>
          <w:rFonts w:cs="Arial"/>
          <w:sz w:val="22"/>
          <w:szCs w:val="22"/>
        </w:rPr>
        <w:t>“</w:t>
      </w:r>
      <w:r w:rsidRPr="00B422D5">
        <w:rPr>
          <w:rFonts w:cs="Arial"/>
          <w:sz w:val="22"/>
          <w:szCs w:val="22"/>
        </w:rPr>
        <w:t>denunciati ai fini IRPEF</w:t>
      </w:r>
      <w:r>
        <w:rPr>
          <w:rFonts w:cs="Arial"/>
          <w:sz w:val="22"/>
          <w:szCs w:val="22"/>
        </w:rPr>
        <w:t>”</w:t>
      </w:r>
      <w:r w:rsidRPr="00B422D5">
        <w:rPr>
          <w:rFonts w:cs="Arial"/>
          <w:sz w:val="22"/>
          <w:szCs w:val="22"/>
        </w:rPr>
        <w:t xml:space="preserve"> dall'obbligato. Questa formula tecnica e oggettiva non consente estensioni interpretative volte a tassare redditi solo astrattamente co</w:t>
      </w:r>
      <w:r w:rsidRPr="00B422D5">
        <w:rPr>
          <w:rFonts w:cs="Arial"/>
          <w:sz w:val="22"/>
          <w:szCs w:val="22"/>
        </w:rPr>
        <w:t>n</w:t>
      </w:r>
      <w:r w:rsidRPr="00B422D5">
        <w:rPr>
          <w:rFonts w:cs="Arial"/>
          <w:sz w:val="22"/>
          <w:szCs w:val="22"/>
        </w:rPr>
        <w:t>seguibili o dichiarati dalla società ai fini IRES</w:t>
      </w:r>
      <w:r>
        <w:rPr>
          <w:rFonts w:cs="Arial"/>
          <w:sz w:val="22"/>
          <w:szCs w:val="22"/>
        </w:rPr>
        <w:t>;</w:t>
      </w:r>
    </w:p>
    <w:p w14:paraId="0779026C" w14:textId="77777777" w:rsidR="00AB7ABE" w:rsidRPr="00B422D5" w:rsidRDefault="00AB7ABE" w:rsidP="00AB7ABE">
      <w:pPr>
        <w:numPr>
          <w:ilvl w:val="0"/>
          <w:numId w:val="12"/>
        </w:numPr>
        <w:suppressAutoHyphens w:val="0"/>
        <w:spacing w:after="0" w:line="360" w:lineRule="atLeast"/>
        <w:jc w:val="both"/>
        <w:rPr>
          <w:rFonts w:cs="Arial"/>
          <w:sz w:val="22"/>
          <w:szCs w:val="22"/>
        </w:rPr>
      </w:pPr>
      <w:r>
        <w:rPr>
          <w:rFonts w:cs="Arial"/>
          <w:b/>
          <w:bCs/>
          <w:sz w:val="22"/>
          <w:szCs w:val="22"/>
        </w:rPr>
        <w:t>r</w:t>
      </w:r>
      <w:r w:rsidRPr="00B422D5">
        <w:rPr>
          <w:rFonts w:cs="Arial"/>
          <w:b/>
          <w:bCs/>
          <w:sz w:val="22"/>
          <w:szCs w:val="22"/>
        </w:rPr>
        <w:t>iserva di legge (art. 23</w:t>
      </w:r>
      <w:r>
        <w:rPr>
          <w:rFonts w:cs="Arial"/>
          <w:b/>
          <w:bCs/>
          <w:sz w:val="22"/>
          <w:szCs w:val="22"/>
        </w:rPr>
        <w:t>,</w:t>
      </w:r>
      <w:r w:rsidRPr="00B422D5">
        <w:rPr>
          <w:rFonts w:cs="Arial"/>
          <w:b/>
          <w:bCs/>
          <w:sz w:val="22"/>
          <w:szCs w:val="22"/>
        </w:rPr>
        <w:t xml:space="preserve"> </w:t>
      </w:r>
      <w:proofErr w:type="spellStart"/>
      <w:r w:rsidRPr="00B422D5">
        <w:rPr>
          <w:rFonts w:cs="Arial"/>
          <w:b/>
          <w:bCs/>
          <w:sz w:val="22"/>
          <w:szCs w:val="22"/>
        </w:rPr>
        <w:t>Cost</w:t>
      </w:r>
      <w:proofErr w:type="spellEnd"/>
      <w:r w:rsidRPr="00B422D5">
        <w:rPr>
          <w:rFonts w:cs="Arial"/>
          <w:b/>
          <w:bCs/>
          <w:sz w:val="22"/>
          <w:szCs w:val="22"/>
        </w:rPr>
        <w:t>.)</w:t>
      </w:r>
      <w:r w:rsidRPr="00B422D5">
        <w:rPr>
          <w:rFonts w:cs="Arial"/>
          <w:sz w:val="22"/>
          <w:szCs w:val="22"/>
        </w:rPr>
        <w:t>: vertendosi in tema di prestazioni patrimoniali imposte, sia l'i</w:t>
      </w:r>
      <w:r w:rsidRPr="00B422D5">
        <w:rPr>
          <w:rFonts w:cs="Arial"/>
          <w:sz w:val="22"/>
          <w:szCs w:val="22"/>
        </w:rPr>
        <w:t>n</w:t>
      </w:r>
      <w:r w:rsidRPr="00B422D5">
        <w:rPr>
          <w:rFonts w:cs="Arial"/>
          <w:sz w:val="22"/>
          <w:szCs w:val="22"/>
        </w:rPr>
        <w:t>sorgenza sia la quantificazione dell'obbligazione esigono una solida base legislativa primaria. Estendere la contribuzione a utili provvisoriamente accantonati e non imputati fiscalmente al socio rappresenterebbe un'inammissibile</w:t>
      </w:r>
      <w:r>
        <w:rPr>
          <w:rFonts w:cs="Arial"/>
          <w:sz w:val="22"/>
          <w:szCs w:val="22"/>
        </w:rPr>
        <w:t xml:space="preserve"> </w:t>
      </w:r>
      <w:proofErr w:type="spellStart"/>
      <w:r w:rsidRPr="00B422D5">
        <w:rPr>
          <w:rFonts w:cs="Arial"/>
          <w:i/>
          <w:iCs/>
          <w:sz w:val="22"/>
          <w:szCs w:val="22"/>
        </w:rPr>
        <w:t>interpretatio</w:t>
      </w:r>
      <w:proofErr w:type="spellEnd"/>
      <w:r w:rsidRPr="00B422D5">
        <w:rPr>
          <w:rFonts w:cs="Arial"/>
          <w:i/>
          <w:iCs/>
          <w:sz w:val="22"/>
          <w:szCs w:val="22"/>
        </w:rPr>
        <w:t xml:space="preserve"> </w:t>
      </w:r>
      <w:proofErr w:type="spellStart"/>
      <w:r w:rsidRPr="00B422D5">
        <w:rPr>
          <w:rFonts w:cs="Arial"/>
          <w:i/>
          <w:iCs/>
          <w:sz w:val="22"/>
          <w:szCs w:val="22"/>
        </w:rPr>
        <w:t>abrogans</w:t>
      </w:r>
      <w:proofErr w:type="spellEnd"/>
      <w:r>
        <w:rPr>
          <w:rFonts w:cs="Arial"/>
          <w:sz w:val="22"/>
          <w:szCs w:val="22"/>
        </w:rPr>
        <w:t xml:space="preserve"> </w:t>
      </w:r>
      <w:r w:rsidRPr="00B422D5">
        <w:rPr>
          <w:rFonts w:cs="Arial"/>
          <w:sz w:val="22"/>
          <w:szCs w:val="22"/>
        </w:rPr>
        <w:t>della norma di legge</w:t>
      </w:r>
      <w:r>
        <w:rPr>
          <w:rFonts w:cs="Arial"/>
          <w:sz w:val="22"/>
          <w:szCs w:val="22"/>
        </w:rPr>
        <w:t>;</w:t>
      </w:r>
    </w:p>
    <w:p w14:paraId="485E8BDA" w14:textId="77777777" w:rsidR="00AB7ABE" w:rsidRPr="00B422D5" w:rsidRDefault="00AB7ABE" w:rsidP="00AB7ABE">
      <w:pPr>
        <w:numPr>
          <w:ilvl w:val="0"/>
          <w:numId w:val="12"/>
        </w:numPr>
        <w:suppressAutoHyphens w:val="0"/>
        <w:spacing w:after="0" w:line="360" w:lineRule="atLeast"/>
        <w:jc w:val="both"/>
        <w:rPr>
          <w:rFonts w:cs="Arial"/>
          <w:sz w:val="22"/>
          <w:szCs w:val="22"/>
        </w:rPr>
      </w:pPr>
      <w:r>
        <w:rPr>
          <w:rFonts w:cs="Arial"/>
          <w:b/>
          <w:bCs/>
          <w:sz w:val="22"/>
          <w:szCs w:val="22"/>
        </w:rPr>
        <w:t>c</w:t>
      </w:r>
      <w:r w:rsidRPr="00B422D5">
        <w:rPr>
          <w:rFonts w:cs="Arial"/>
          <w:b/>
          <w:bCs/>
          <w:sz w:val="22"/>
          <w:szCs w:val="22"/>
        </w:rPr>
        <w:t xml:space="preserve">onvergenza tra disciplina tributaria e previdenziale (Corte </w:t>
      </w:r>
      <w:proofErr w:type="spellStart"/>
      <w:r w:rsidRPr="00B422D5">
        <w:rPr>
          <w:rFonts w:cs="Arial"/>
          <w:b/>
          <w:bCs/>
          <w:sz w:val="22"/>
          <w:szCs w:val="22"/>
        </w:rPr>
        <w:t>Cost</w:t>
      </w:r>
      <w:proofErr w:type="spellEnd"/>
      <w:r w:rsidRPr="00B422D5">
        <w:rPr>
          <w:rFonts w:cs="Arial"/>
          <w:b/>
          <w:bCs/>
          <w:sz w:val="22"/>
          <w:szCs w:val="22"/>
        </w:rPr>
        <w:t>. n. 354/2001)</w:t>
      </w:r>
      <w:r w:rsidRPr="00B422D5">
        <w:rPr>
          <w:rFonts w:cs="Arial"/>
          <w:sz w:val="22"/>
          <w:szCs w:val="22"/>
        </w:rPr>
        <w:t>: il legislat</w:t>
      </w:r>
      <w:r w:rsidRPr="00B422D5">
        <w:rPr>
          <w:rFonts w:cs="Arial"/>
          <w:sz w:val="22"/>
          <w:szCs w:val="22"/>
        </w:rPr>
        <w:t>o</w:t>
      </w:r>
      <w:r w:rsidRPr="00B422D5">
        <w:rPr>
          <w:rFonts w:cs="Arial"/>
          <w:sz w:val="22"/>
          <w:szCs w:val="22"/>
        </w:rPr>
        <w:t>re ha deliberatamente modellato l'imponibile previdenziale su quello fiscale per garantire co</w:t>
      </w:r>
      <w:r w:rsidRPr="00B422D5">
        <w:rPr>
          <w:rFonts w:cs="Arial"/>
          <w:sz w:val="22"/>
          <w:szCs w:val="22"/>
        </w:rPr>
        <w:t>e</w:t>
      </w:r>
      <w:r w:rsidRPr="00B422D5">
        <w:rPr>
          <w:rFonts w:cs="Arial"/>
          <w:sz w:val="22"/>
          <w:szCs w:val="22"/>
        </w:rPr>
        <w:t>renza sistematica. Il regime previdenziale rispecchia il grado di immedesimazione tra società e socio caratteristico di ciascun modello societario, differenziando le società di persone dalle s</w:t>
      </w:r>
      <w:r w:rsidRPr="00B422D5">
        <w:rPr>
          <w:rFonts w:cs="Arial"/>
          <w:sz w:val="22"/>
          <w:szCs w:val="22"/>
        </w:rPr>
        <w:t>o</w:t>
      </w:r>
      <w:r w:rsidRPr="00B422D5">
        <w:rPr>
          <w:rFonts w:cs="Arial"/>
          <w:sz w:val="22"/>
          <w:szCs w:val="22"/>
        </w:rPr>
        <w:t>cietà di capitali</w:t>
      </w:r>
      <w:r>
        <w:rPr>
          <w:rFonts w:cs="Arial"/>
          <w:sz w:val="22"/>
          <w:szCs w:val="22"/>
        </w:rPr>
        <w:t>;</w:t>
      </w:r>
    </w:p>
    <w:p w14:paraId="6E2800E3" w14:textId="77777777" w:rsidR="00AB7ABE" w:rsidRPr="00B422D5" w:rsidRDefault="00AB7ABE" w:rsidP="00AB7ABE">
      <w:pPr>
        <w:numPr>
          <w:ilvl w:val="0"/>
          <w:numId w:val="12"/>
        </w:numPr>
        <w:suppressAutoHyphens w:val="0"/>
        <w:spacing w:after="0" w:line="360" w:lineRule="atLeast"/>
        <w:jc w:val="both"/>
        <w:rPr>
          <w:rFonts w:cs="Arial"/>
          <w:sz w:val="22"/>
          <w:szCs w:val="22"/>
        </w:rPr>
      </w:pPr>
      <w:r>
        <w:rPr>
          <w:rFonts w:cs="Arial"/>
          <w:b/>
          <w:bCs/>
          <w:sz w:val="22"/>
          <w:szCs w:val="22"/>
        </w:rPr>
        <w:t>v</w:t>
      </w:r>
      <w:r w:rsidRPr="00B422D5">
        <w:rPr>
          <w:rFonts w:cs="Arial"/>
          <w:b/>
          <w:bCs/>
          <w:sz w:val="22"/>
          <w:szCs w:val="22"/>
        </w:rPr>
        <w:t>alutazione imprenditoriale e finalità antielusiva</w:t>
      </w:r>
      <w:r w:rsidRPr="00B422D5">
        <w:rPr>
          <w:rFonts w:cs="Arial"/>
          <w:sz w:val="22"/>
          <w:szCs w:val="22"/>
        </w:rPr>
        <w:t>: la decisione assembleare di accantonare gli utili a riserva risponde a valutazioni societarie autonome che non sono necessariamente i</w:t>
      </w:r>
      <w:r w:rsidRPr="00B422D5">
        <w:rPr>
          <w:rFonts w:cs="Arial"/>
          <w:sz w:val="22"/>
          <w:szCs w:val="22"/>
        </w:rPr>
        <w:t>n</w:t>
      </w:r>
      <w:r w:rsidRPr="00B422D5">
        <w:rPr>
          <w:rFonts w:cs="Arial"/>
          <w:sz w:val="22"/>
          <w:szCs w:val="22"/>
        </w:rPr>
        <w:t>fluenzate dal ruolo apicale o dalle scelte dell'obbligato, né sottendono un intento elusivo o fra</w:t>
      </w:r>
      <w:r w:rsidRPr="00B422D5">
        <w:rPr>
          <w:rFonts w:cs="Arial"/>
          <w:sz w:val="22"/>
          <w:szCs w:val="22"/>
        </w:rPr>
        <w:t>u</w:t>
      </w:r>
      <w:r w:rsidRPr="00B422D5">
        <w:rPr>
          <w:rFonts w:cs="Arial"/>
          <w:sz w:val="22"/>
          <w:szCs w:val="22"/>
        </w:rPr>
        <w:t>dolento. L'eventuale esigenza antielusiva non giustifica un'interpretazione giurisprudenziale dissonante rispetto alla lettera della legge e alla finalità di armonizzazione con il sistema trib</w:t>
      </w:r>
      <w:r w:rsidRPr="00B422D5">
        <w:rPr>
          <w:rFonts w:cs="Arial"/>
          <w:sz w:val="22"/>
          <w:szCs w:val="22"/>
        </w:rPr>
        <w:t>u</w:t>
      </w:r>
      <w:r w:rsidRPr="00B422D5">
        <w:rPr>
          <w:rFonts w:cs="Arial"/>
          <w:sz w:val="22"/>
          <w:szCs w:val="22"/>
        </w:rPr>
        <w:t>tario.</w:t>
      </w:r>
    </w:p>
    <w:p w14:paraId="0FB6E460" w14:textId="77777777" w:rsidR="00AB7ABE" w:rsidRPr="00B422D5" w:rsidRDefault="00AB7ABE" w:rsidP="00AB7ABE">
      <w:pPr>
        <w:spacing w:line="360" w:lineRule="atLeast"/>
        <w:jc w:val="both"/>
        <w:rPr>
          <w:rFonts w:cs="Arial"/>
          <w:sz w:val="22"/>
          <w:szCs w:val="22"/>
        </w:rPr>
      </w:pPr>
    </w:p>
    <w:p w14:paraId="7663FD88" w14:textId="77777777" w:rsidR="00AB7ABE" w:rsidRPr="00B13AC1" w:rsidRDefault="00AB7ABE" w:rsidP="00AB7ABE">
      <w:pPr>
        <w:spacing w:line="360" w:lineRule="atLeast"/>
        <w:jc w:val="both"/>
        <w:rPr>
          <w:rFonts w:cs="Arial"/>
        </w:rPr>
      </w:pPr>
      <w:r w:rsidRPr="00B13AC1">
        <w:rPr>
          <w:rFonts w:cs="Arial"/>
          <w:b/>
          <w:bCs/>
        </w:rPr>
        <w:t>Effetti pratici, onere probatorio e tutela pensionistica</w:t>
      </w:r>
    </w:p>
    <w:p w14:paraId="75022F42" w14:textId="77777777" w:rsidR="00AB7ABE" w:rsidRPr="00B422D5" w:rsidRDefault="00AB7ABE" w:rsidP="00AB7ABE">
      <w:pPr>
        <w:spacing w:line="360" w:lineRule="atLeast"/>
        <w:jc w:val="both"/>
        <w:rPr>
          <w:rFonts w:cs="Arial"/>
          <w:sz w:val="22"/>
          <w:szCs w:val="22"/>
        </w:rPr>
      </w:pPr>
      <w:r w:rsidRPr="00B422D5">
        <w:rPr>
          <w:rFonts w:cs="Arial"/>
          <w:sz w:val="22"/>
          <w:szCs w:val="22"/>
        </w:rPr>
        <w:t>La sentenza fissa le conseguenze operative per le parti in causa</w:t>
      </w:r>
      <w:r>
        <w:rPr>
          <w:rFonts w:cs="Arial"/>
          <w:sz w:val="22"/>
          <w:szCs w:val="22"/>
        </w:rPr>
        <w:t>:</w:t>
      </w:r>
    </w:p>
    <w:p w14:paraId="6FDBE3B2" w14:textId="77777777" w:rsidR="00AB7ABE" w:rsidRPr="00B422D5" w:rsidRDefault="00AB7ABE" w:rsidP="00AB7ABE">
      <w:pPr>
        <w:numPr>
          <w:ilvl w:val="0"/>
          <w:numId w:val="13"/>
        </w:numPr>
        <w:suppressAutoHyphens w:val="0"/>
        <w:spacing w:after="0" w:line="360" w:lineRule="atLeast"/>
        <w:jc w:val="both"/>
        <w:rPr>
          <w:rFonts w:cs="Arial"/>
          <w:sz w:val="22"/>
          <w:szCs w:val="22"/>
        </w:rPr>
      </w:pPr>
      <w:r>
        <w:rPr>
          <w:rFonts w:cs="Arial"/>
          <w:b/>
          <w:bCs/>
          <w:sz w:val="22"/>
          <w:szCs w:val="22"/>
        </w:rPr>
        <w:t>r</w:t>
      </w:r>
      <w:r w:rsidRPr="00B422D5">
        <w:rPr>
          <w:rFonts w:cs="Arial"/>
          <w:b/>
          <w:bCs/>
          <w:sz w:val="22"/>
          <w:szCs w:val="22"/>
        </w:rPr>
        <w:t>ipartizione dell'onere probatorio</w:t>
      </w:r>
      <w:r w:rsidRPr="00B422D5">
        <w:rPr>
          <w:rFonts w:cs="Arial"/>
          <w:sz w:val="22"/>
          <w:szCs w:val="22"/>
        </w:rPr>
        <w:t>: grava sull'ente creditore l'onere di provare l'imputazione del reddito al lavoratore e il correlato obbligo di dichiarazione ai fini IRPEF, fornendo riscontro dell'effettiva percezione degli utili o dell'opzione societaria per la trasparenza ex artt. 115</w:t>
      </w:r>
      <w:r>
        <w:rPr>
          <w:rFonts w:cs="Arial"/>
          <w:sz w:val="22"/>
          <w:szCs w:val="22"/>
        </w:rPr>
        <w:t xml:space="preserve"> e </w:t>
      </w:r>
      <w:r w:rsidRPr="00B422D5">
        <w:rPr>
          <w:rFonts w:cs="Arial"/>
          <w:sz w:val="22"/>
          <w:szCs w:val="22"/>
        </w:rPr>
        <w:t>116</w:t>
      </w:r>
      <w:r>
        <w:rPr>
          <w:rFonts w:cs="Arial"/>
          <w:sz w:val="22"/>
          <w:szCs w:val="22"/>
        </w:rPr>
        <w:t>,</w:t>
      </w:r>
      <w:r w:rsidRPr="00B422D5">
        <w:rPr>
          <w:rFonts w:cs="Arial"/>
          <w:sz w:val="22"/>
          <w:szCs w:val="22"/>
        </w:rPr>
        <w:t xml:space="preserve"> TUIR</w:t>
      </w:r>
      <w:r>
        <w:rPr>
          <w:rFonts w:cs="Arial"/>
          <w:sz w:val="22"/>
          <w:szCs w:val="22"/>
        </w:rPr>
        <w:t>;</w:t>
      </w:r>
    </w:p>
    <w:p w14:paraId="61BB1315" w14:textId="77777777" w:rsidR="00AB7ABE" w:rsidRPr="00B422D5" w:rsidRDefault="00AB7ABE" w:rsidP="00AB7ABE">
      <w:pPr>
        <w:numPr>
          <w:ilvl w:val="0"/>
          <w:numId w:val="13"/>
        </w:numPr>
        <w:suppressAutoHyphens w:val="0"/>
        <w:spacing w:after="0" w:line="360" w:lineRule="atLeast"/>
        <w:jc w:val="both"/>
        <w:rPr>
          <w:rFonts w:cs="Arial"/>
          <w:sz w:val="22"/>
          <w:szCs w:val="22"/>
        </w:rPr>
      </w:pPr>
      <w:r>
        <w:rPr>
          <w:rFonts w:cs="Arial"/>
          <w:b/>
          <w:bCs/>
          <w:sz w:val="22"/>
          <w:szCs w:val="22"/>
        </w:rPr>
        <w:t>r</w:t>
      </w:r>
      <w:r w:rsidRPr="00B422D5">
        <w:rPr>
          <w:rFonts w:cs="Arial"/>
          <w:b/>
          <w:bCs/>
          <w:sz w:val="22"/>
          <w:szCs w:val="22"/>
        </w:rPr>
        <w:t>iflessi previdenziali futuri</w:t>
      </w:r>
      <w:r w:rsidRPr="00B422D5">
        <w:rPr>
          <w:rFonts w:cs="Arial"/>
          <w:sz w:val="22"/>
          <w:szCs w:val="22"/>
        </w:rPr>
        <w:t>: la Corte rileva che all'eventuale ampliamento della base imponib</w:t>
      </w:r>
      <w:r w:rsidRPr="00B422D5">
        <w:rPr>
          <w:rFonts w:cs="Arial"/>
          <w:sz w:val="22"/>
          <w:szCs w:val="22"/>
        </w:rPr>
        <w:t>i</w:t>
      </w:r>
      <w:r w:rsidRPr="00B422D5">
        <w:rPr>
          <w:rFonts w:cs="Arial"/>
          <w:sz w:val="22"/>
          <w:szCs w:val="22"/>
        </w:rPr>
        <w:t xml:space="preserve">le si ricollegherebbe un incremento delle future prestazioni pensionistiche (richiamando Corte </w:t>
      </w:r>
      <w:proofErr w:type="spellStart"/>
      <w:r w:rsidRPr="00B422D5">
        <w:rPr>
          <w:rFonts w:cs="Arial"/>
          <w:sz w:val="22"/>
          <w:szCs w:val="22"/>
        </w:rPr>
        <w:t>Cost</w:t>
      </w:r>
      <w:proofErr w:type="spellEnd"/>
      <w:r w:rsidRPr="00B422D5">
        <w:rPr>
          <w:rFonts w:cs="Arial"/>
          <w:sz w:val="22"/>
          <w:szCs w:val="22"/>
        </w:rPr>
        <w:t>. n. 354/2001). Ciononostante, la prospettiva di un trattamento più elevato non può legitt</w:t>
      </w:r>
      <w:r w:rsidRPr="00B422D5">
        <w:rPr>
          <w:rFonts w:cs="Arial"/>
          <w:sz w:val="22"/>
          <w:szCs w:val="22"/>
        </w:rPr>
        <w:t>i</w:t>
      </w:r>
      <w:r w:rsidRPr="00B422D5">
        <w:rPr>
          <w:rFonts w:cs="Arial"/>
          <w:sz w:val="22"/>
          <w:szCs w:val="22"/>
        </w:rPr>
        <w:t>mare l'estensione dell'obbligo oltre i confini di legge, dal momento che l'adeguatezza della g</w:t>
      </w:r>
      <w:r w:rsidRPr="00B422D5">
        <w:rPr>
          <w:rFonts w:cs="Arial"/>
          <w:sz w:val="22"/>
          <w:szCs w:val="22"/>
        </w:rPr>
        <w:t>a</w:t>
      </w:r>
      <w:r w:rsidRPr="00B422D5">
        <w:rPr>
          <w:rFonts w:cs="Arial"/>
          <w:sz w:val="22"/>
          <w:szCs w:val="22"/>
        </w:rPr>
        <w:t>ranzia sancita dall'art. 38</w:t>
      </w:r>
      <w:r>
        <w:rPr>
          <w:rFonts w:cs="Arial"/>
          <w:sz w:val="22"/>
          <w:szCs w:val="22"/>
        </w:rPr>
        <w:t>,</w:t>
      </w:r>
      <w:r w:rsidRPr="00B422D5">
        <w:rPr>
          <w:rFonts w:cs="Arial"/>
          <w:sz w:val="22"/>
          <w:szCs w:val="22"/>
        </w:rPr>
        <w:t xml:space="preserve"> </w:t>
      </w:r>
      <w:proofErr w:type="spellStart"/>
      <w:r w:rsidRPr="00B422D5">
        <w:rPr>
          <w:rFonts w:cs="Arial"/>
          <w:sz w:val="22"/>
          <w:szCs w:val="22"/>
        </w:rPr>
        <w:t>Cost</w:t>
      </w:r>
      <w:proofErr w:type="spellEnd"/>
      <w:r w:rsidRPr="00B422D5">
        <w:rPr>
          <w:rFonts w:cs="Arial"/>
          <w:sz w:val="22"/>
          <w:szCs w:val="22"/>
        </w:rPr>
        <w:t>. è comunque salvaguardata dal versamento sui minimali di le</w:t>
      </w:r>
      <w:r w:rsidRPr="00B422D5">
        <w:rPr>
          <w:rFonts w:cs="Arial"/>
          <w:sz w:val="22"/>
          <w:szCs w:val="22"/>
        </w:rPr>
        <w:t>g</w:t>
      </w:r>
      <w:r w:rsidRPr="00B422D5">
        <w:rPr>
          <w:rFonts w:cs="Arial"/>
          <w:sz w:val="22"/>
          <w:szCs w:val="22"/>
        </w:rPr>
        <w:t>ge.</w:t>
      </w:r>
    </w:p>
    <w:p w14:paraId="60D7EA5D" w14:textId="77777777" w:rsidR="00AB7ABE" w:rsidRPr="00B422D5" w:rsidRDefault="00AB7ABE" w:rsidP="00AB7ABE">
      <w:pPr>
        <w:spacing w:line="360" w:lineRule="atLeast"/>
        <w:jc w:val="both"/>
        <w:rPr>
          <w:rFonts w:cs="Arial"/>
          <w:sz w:val="22"/>
          <w:szCs w:val="22"/>
        </w:rPr>
      </w:pPr>
    </w:p>
    <w:p w14:paraId="5646D48A" w14:textId="77777777" w:rsidR="00AB7ABE" w:rsidRPr="00B422D5" w:rsidRDefault="00AB7ABE" w:rsidP="00AB7ABE">
      <w:pPr>
        <w:spacing w:line="360" w:lineRule="atLeast"/>
        <w:jc w:val="both"/>
        <w:rPr>
          <w:rFonts w:cs="Arial"/>
          <w:sz w:val="22"/>
          <w:szCs w:val="22"/>
        </w:rPr>
      </w:pPr>
      <w:r w:rsidRPr="00B422D5">
        <w:rPr>
          <w:rFonts w:cs="Arial"/>
          <w:sz w:val="22"/>
          <w:szCs w:val="22"/>
        </w:rPr>
        <w:t xml:space="preserve">Al punto 22 della pronuncia viene enunciato il principio di diritto: il socio lavoratore abituale e prevalente di </w:t>
      </w:r>
      <w:r>
        <w:rPr>
          <w:rFonts w:cs="Arial"/>
          <w:sz w:val="22"/>
          <w:szCs w:val="22"/>
        </w:rPr>
        <w:t>s</w:t>
      </w:r>
      <w:r w:rsidRPr="00B422D5">
        <w:rPr>
          <w:rFonts w:cs="Arial"/>
          <w:sz w:val="22"/>
          <w:szCs w:val="22"/>
        </w:rPr>
        <w:t>.r.l. iscritto alla Gestione Commercianti versa il contributo commisurato alla quota di reddito d'impresa a lui attribuita e da lui dichiarata ai fini IRPEF. In mancanza di distribuzione o di trasparenza fiscale, gli utili accantonati non entrano nel computo della base imponibile contributiva.</w:t>
      </w:r>
    </w:p>
    <w:p w14:paraId="76549B67" w14:textId="77777777" w:rsidR="00AB7ABE" w:rsidRDefault="00AB7ABE" w:rsidP="00AB7ABE">
      <w:pPr>
        <w:spacing w:line="360" w:lineRule="atLeast"/>
        <w:jc w:val="both"/>
        <w:rPr>
          <w:rFonts w:cs="Arial"/>
          <w:sz w:val="22"/>
          <w:szCs w:val="22"/>
        </w:rPr>
      </w:pPr>
    </w:p>
    <w:p w14:paraId="26DAC67D" w14:textId="77777777" w:rsidR="00AB7ABE" w:rsidRPr="003818F9" w:rsidRDefault="00AB7ABE" w:rsidP="00AB7ABE">
      <w:pPr>
        <w:spacing w:line="360" w:lineRule="atLeast"/>
        <w:jc w:val="both"/>
        <w:rPr>
          <w:rFonts w:cs="Arial"/>
        </w:rPr>
      </w:pPr>
      <w:r w:rsidRPr="003818F9">
        <w:rPr>
          <w:rFonts w:cs="Arial"/>
          <w:b/>
          <w:bCs/>
        </w:rPr>
        <w:t>Quadro operativo e prassi INPS: gestire la scelta tra orientamento giurisprudenziale e rischio di contenzioso</w:t>
      </w:r>
    </w:p>
    <w:p w14:paraId="31FD7DDB" w14:textId="77777777" w:rsidR="00AB7ABE" w:rsidRPr="00B422D5" w:rsidRDefault="00AB7ABE" w:rsidP="00AB7ABE">
      <w:pPr>
        <w:spacing w:line="360" w:lineRule="atLeast"/>
        <w:jc w:val="both"/>
        <w:rPr>
          <w:rFonts w:cs="Arial"/>
          <w:sz w:val="22"/>
          <w:szCs w:val="22"/>
        </w:rPr>
      </w:pPr>
      <w:r w:rsidRPr="00B422D5">
        <w:rPr>
          <w:rFonts w:cs="Arial"/>
          <w:sz w:val="22"/>
          <w:szCs w:val="22"/>
        </w:rPr>
        <w:t>Sebbene la decisione della Sezione Lavoro si inserisca in un orientamento coerente composto da dieci pronunce conformi depositate tra il 16 e il 17 settembre 2026 – con la sentenza n. 25377 a fare da capofila –, sul piano operativo l'INPS non ha ancora recepito i principi stabiliti dalla Suprema Corte. L'attività di consulenza non può quindi limitarsi alla mera applicazione di una regola consolidata nella prassi degli uffici, ma deve essere impostata come la gestione consapevole di una scelta che comporta specifici rischi di contenzioso.</w:t>
      </w:r>
    </w:p>
    <w:p w14:paraId="64D2093B" w14:textId="77777777" w:rsidR="00AB7ABE" w:rsidRPr="00B422D5" w:rsidRDefault="00AB7ABE" w:rsidP="00AB7ABE">
      <w:pPr>
        <w:spacing w:line="360" w:lineRule="atLeast"/>
        <w:jc w:val="both"/>
        <w:rPr>
          <w:rFonts w:cs="Arial"/>
          <w:sz w:val="22"/>
          <w:szCs w:val="22"/>
        </w:rPr>
      </w:pPr>
    </w:p>
    <w:p w14:paraId="68B911FE" w14:textId="77777777" w:rsidR="00AB7ABE" w:rsidRPr="003818F9" w:rsidRDefault="00AB7ABE" w:rsidP="00AB7ABE">
      <w:pPr>
        <w:spacing w:line="360" w:lineRule="atLeast"/>
        <w:jc w:val="both"/>
        <w:rPr>
          <w:rFonts w:cs="Arial"/>
        </w:rPr>
      </w:pPr>
      <w:r w:rsidRPr="003818F9">
        <w:rPr>
          <w:rFonts w:cs="Arial"/>
          <w:b/>
          <w:bCs/>
        </w:rPr>
        <w:t>Lo scollamento tra giurisprudenza e istruzioni amministrative</w:t>
      </w:r>
    </w:p>
    <w:p w14:paraId="1EF43D41" w14:textId="77777777" w:rsidR="00AB7ABE" w:rsidRPr="00B422D5" w:rsidRDefault="00AB7ABE" w:rsidP="00AB7ABE">
      <w:pPr>
        <w:spacing w:line="360" w:lineRule="atLeast"/>
        <w:jc w:val="both"/>
        <w:rPr>
          <w:rFonts w:cs="Arial"/>
          <w:sz w:val="22"/>
          <w:szCs w:val="22"/>
        </w:rPr>
      </w:pPr>
      <w:r w:rsidRPr="00B422D5">
        <w:rPr>
          <w:rFonts w:cs="Arial"/>
          <w:sz w:val="22"/>
          <w:szCs w:val="22"/>
        </w:rPr>
        <w:t>La circolare INPS n. 62 del 27 maggio 2026, recante le indicazioni per la compilazione del quadro RR del modello Redditi 2026-PF, continua a richiedere l'inserimento nella base imponibile della quota di utile societario attribuita al socio lavoratore, a prescindere dal fatto che sia stata distribuita o accantonata a riserva.</w:t>
      </w:r>
    </w:p>
    <w:p w14:paraId="1ADEA362" w14:textId="77777777" w:rsidR="00AB7ABE" w:rsidRPr="00B422D5" w:rsidRDefault="00AB7ABE" w:rsidP="00AB7ABE">
      <w:pPr>
        <w:spacing w:line="360" w:lineRule="atLeast"/>
        <w:jc w:val="both"/>
        <w:rPr>
          <w:rFonts w:cs="Arial"/>
          <w:sz w:val="22"/>
          <w:szCs w:val="22"/>
        </w:rPr>
      </w:pPr>
      <w:r w:rsidRPr="00B422D5">
        <w:rPr>
          <w:rFonts w:cs="Arial"/>
          <w:sz w:val="22"/>
          <w:szCs w:val="22"/>
        </w:rPr>
        <w:t>Resta inteso che</w:t>
      </w:r>
      <w:r>
        <w:rPr>
          <w:rFonts w:cs="Arial"/>
          <w:sz w:val="22"/>
          <w:szCs w:val="22"/>
        </w:rPr>
        <w:t xml:space="preserve"> </w:t>
      </w:r>
      <w:r w:rsidRPr="00B422D5">
        <w:rPr>
          <w:rFonts w:cs="Arial"/>
          <w:b/>
          <w:bCs/>
          <w:sz w:val="22"/>
          <w:szCs w:val="22"/>
        </w:rPr>
        <w:t>il versamento sul minimale non è oggetto di discussione</w:t>
      </w:r>
      <w:r w:rsidRPr="00B422D5">
        <w:rPr>
          <w:rFonts w:cs="Arial"/>
          <w:sz w:val="22"/>
          <w:szCs w:val="22"/>
        </w:rPr>
        <w:t>: per il 2026 l'obbligo contributivo base è calcolato sul reddito minimo di 18.808 euro.</w:t>
      </w:r>
      <w:r w:rsidRPr="00B13AC1">
        <w:rPr>
          <w:rFonts w:cs="Arial"/>
          <w:sz w:val="22"/>
          <w:szCs w:val="22"/>
        </w:rPr>
        <w:t xml:space="preserve"> La posta in gioco riguarda la </w:t>
      </w:r>
      <w:r w:rsidRPr="00B422D5">
        <w:rPr>
          <w:rFonts w:cs="Arial"/>
          <w:b/>
          <w:bCs/>
          <w:sz w:val="22"/>
          <w:szCs w:val="22"/>
        </w:rPr>
        <w:t>contribuzione a percentuale sul differenziale</w:t>
      </w:r>
      <w:r w:rsidRPr="00B422D5">
        <w:rPr>
          <w:rFonts w:cs="Arial"/>
          <w:sz w:val="22"/>
          <w:szCs w:val="22"/>
        </w:rPr>
        <w:t xml:space="preserve">: per un socio al 50% di una </w:t>
      </w:r>
      <w:r>
        <w:rPr>
          <w:rFonts w:cs="Arial"/>
          <w:sz w:val="22"/>
          <w:szCs w:val="22"/>
        </w:rPr>
        <w:t>s</w:t>
      </w:r>
      <w:r w:rsidRPr="00B422D5">
        <w:rPr>
          <w:rFonts w:cs="Arial"/>
          <w:sz w:val="22"/>
          <w:szCs w:val="22"/>
        </w:rPr>
        <w:t>.r.l. commerciale che ha destinato a riserva 80.000 euro di utile, il carico contributivo eccedente per l'annualità 2025 ammonta a circa 5.250 euro (che scendono a 5.146,80 euro applicando le aliquote della Gestione Artigiani).</w:t>
      </w:r>
    </w:p>
    <w:p w14:paraId="6A2EA5FD" w14:textId="77777777" w:rsidR="00AB7ABE" w:rsidRDefault="00AB7ABE" w:rsidP="00AB7ABE">
      <w:pPr>
        <w:spacing w:line="360" w:lineRule="atLeast"/>
        <w:jc w:val="both"/>
        <w:rPr>
          <w:rFonts w:cs="Arial"/>
          <w:sz w:val="22"/>
          <w:szCs w:val="22"/>
        </w:rPr>
      </w:pPr>
    </w:p>
    <w:p w14:paraId="1AA2CE61" w14:textId="77777777" w:rsidR="00AB7ABE" w:rsidRPr="003818F9" w:rsidRDefault="00AB7ABE" w:rsidP="00AB7ABE">
      <w:pPr>
        <w:spacing w:line="360" w:lineRule="atLeast"/>
        <w:jc w:val="both"/>
        <w:rPr>
          <w:rFonts w:cs="Arial"/>
        </w:rPr>
      </w:pPr>
      <w:r w:rsidRPr="003818F9">
        <w:rPr>
          <w:rFonts w:cs="Arial"/>
          <w:b/>
          <w:bCs/>
        </w:rPr>
        <w:t>Guida alle decisioni operative per professionisti e imprese</w:t>
      </w:r>
    </w:p>
    <w:p w14:paraId="72D40F31" w14:textId="77777777" w:rsidR="00AB7ABE" w:rsidRPr="00B422D5" w:rsidRDefault="00AB7ABE" w:rsidP="00AB7ABE">
      <w:pPr>
        <w:spacing w:line="360" w:lineRule="atLeast"/>
        <w:jc w:val="both"/>
        <w:rPr>
          <w:rFonts w:cs="Arial"/>
          <w:sz w:val="22"/>
          <w:szCs w:val="22"/>
        </w:rPr>
      </w:pPr>
      <w:r w:rsidRPr="00B422D5">
        <w:rPr>
          <w:rFonts w:cs="Arial"/>
          <w:sz w:val="22"/>
          <w:szCs w:val="22"/>
        </w:rPr>
        <w:t>Di fronte a tale disallineamento,</w:t>
      </w:r>
      <w:r>
        <w:rPr>
          <w:rFonts w:cs="Arial"/>
          <w:sz w:val="22"/>
          <w:szCs w:val="22"/>
        </w:rPr>
        <w:t xml:space="preserve"> </w:t>
      </w:r>
      <w:r>
        <w:rPr>
          <w:rFonts w:cs="Arial"/>
          <w:b/>
          <w:bCs/>
          <w:sz w:val="22"/>
          <w:szCs w:val="22"/>
        </w:rPr>
        <w:t>è necessaria</w:t>
      </w:r>
      <w:r w:rsidRPr="00B422D5">
        <w:rPr>
          <w:rFonts w:cs="Arial"/>
          <w:b/>
          <w:bCs/>
          <w:sz w:val="22"/>
          <w:szCs w:val="22"/>
        </w:rPr>
        <w:t xml:space="preserve"> una disamina puntuale della propria posizione</w:t>
      </w:r>
      <w:r>
        <w:rPr>
          <w:rFonts w:cs="Arial"/>
          <w:sz w:val="22"/>
          <w:szCs w:val="22"/>
        </w:rPr>
        <w:t>:</w:t>
      </w:r>
    </w:p>
    <w:p w14:paraId="4C57AE3B" w14:textId="77777777" w:rsidR="00AB7ABE" w:rsidRPr="00B422D5" w:rsidRDefault="00AB7ABE" w:rsidP="00AB7ABE">
      <w:pPr>
        <w:numPr>
          <w:ilvl w:val="0"/>
          <w:numId w:val="14"/>
        </w:numPr>
        <w:suppressAutoHyphens w:val="0"/>
        <w:spacing w:after="0" w:line="360" w:lineRule="atLeast"/>
        <w:jc w:val="both"/>
        <w:rPr>
          <w:rFonts w:cs="Arial"/>
          <w:sz w:val="22"/>
          <w:szCs w:val="22"/>
        </w:rPr>
      </w:pPr>
      <w:r>
        <w:rPr>
          <w:rFonts w:cs="Arial"/>
          <w:b/>
          <w:bCs/>
          <w:sz w:val="22"/>
          <w:szCs w:val="22"/>
        </w:rPr>
        <w:t>i</w:t>
      </w:r>
      <w:r w:rsidRPr="00B422D5">
        <w:rPr>
          <w:rFonts w:cs="Arial"/>
          <w:b/>
          <w:bCs/>
          <w:sz w:val="22"/>
          <w:szCs w:val="22"/>
        </w:rPr>
        <w:t>ndividuazione dei soggetti interessati</w:t>
      </w:r>
      <w:r w:rsidRPr="00B422D5">
        <w:rPr>
          <w:rFonts w:cs="Arial"/>
          <w:sz w:val="22"/>
          <w:szCs w:val="22"/>
        </w:rPr>
        <w:t xml:space="preserve">: la questione riguarda esclusivamente i soci lavoratori di </w:t>
      </w:r>
      <w:r>
        <w:rPr>
          <w:rFonts w:cs="Arial"/>
          <w:sz w:val="22"/>
          <w:szCs w:val="22"/>
        </w:rPr>
        <w:t>s</w:t>
      </w:r>
      <w:r w:rsidRPr="00B422D5">
        <w:rPr>
          <w:rFonts w:cs="Arial"/>
          <w:sz w:val="22"/>
          <w:szCs w:val="22"/>
        </w:rPr>
        <w:t>.r.l. iscritti alla Gestione Commercianti o Artigiani in presenza di utili accantonati a riserva. È essenziale verificare l'assenza di opzione societaria per la trasparenza fiscale (artt. 115</w:t>
      </w:r>
      <w:r>
        <w:rPr>
          <w:rFonts w:cs="Arial"/>
          <w:sz w:val="22"/>
          <w:szCs w:val="22"/>
        </w:rPr>
        <w:t xml:space="preserve"> e </w:t>
      </w:r>
      <w:r w:rsidRPr="00B422D5">
        <w:rPr>
          <w:rFonts w:cs="Arial"/>
          <w:sz w:val="22"/>
          <w:szCs w:val="22"/>
        </w:rPr>
        <w:t>116</w:t>
      </w:r>
      <w:r>
        <w:rPr>
          <w:rFonts w:cs="Arial"/>
          <w:sz w:val="22"/>
          <w:szCs w:val="22"/>
        </w:rPr>
        <w:t>,</w:t>
      </w:r>
      <w:r w:rsidRPr="00B422D5">
        <w:rPr>
          <w:rFonts w:cs="Arial"/>
          <w:sz w:val="22"/>
          <w:szCs w:val="22"/>
        </w:rPr>
        <w:t xml:space="preserve"> TUIR), poiché in regime di trasparenza gli utili concorrono comunque alla base contributiva a</w:t>
      </w:r>
      <w:r w:rsidRPr="00B422D5">
        <w:rPr>
          <w:rFonts w:cs="Arial"/>
          <w:sz w:val="22"/>
          <w:szCs w:val="22"/>
        </w:rPr>
        <w:t>n</w:t>
      </w:r>
      <w:r w:rsidRPr="00B422D5">
        <w:rPr>
          <w:rFonts w:cs="Arial"/>
          <w:sz w:val="22"/>
          <w:szCs w:val="22"/>
        </w:rPr>
        <w:t>che senza materiale percezione. Per i soci di solo capitale privi di prestazione lavorativa azie</w:t>
      </w:r>
      <w:r w:rsidRPr="00B422D5">
        <w:rPr>
          <w:rFonts w:cs="Arial"/>
          <w:sz w:val="22"/>
          <w:szCs w:val="22"/>
        </w:rPr>
        <w:t>n</w:t>
      </w:r>
      <w:r w:rsidRPr="00B422D5">
        <w:rPr>
          <w:rFonts w:cs="Arial"/>
          <w:sz w:val="22"/>
          <w:szCs w:val="22"/>
        </w:rPr>
        <w:t>dale la situazione rimane invece definita: gli utili non concorrono all'imponibile, in aderenza a quanto già recepito dalla Circolare INPS n. 84/2021</w:t>
      </w:r>
      <w:r>
        <w:rPr>
          <w:rFonts w:cs="Arial"/>
          <w:sz w:val="22"/>
          <w:szCs w:val="22"/>
        </w:rPr>
        <w:t>;</w:t>
      </w:r>
    </w:p>
    <w:p w14:paraId="5AC3E8C5" w14:textId="77777777" w:rsidR="00AB7ABE" w:rsidRPr="00B422D5" w:rsidRDefault="00AB7ABE" w:rsidP="00AB7ABE">
      <w:pPr>
        <w:numPr>
          <w:ilvl w:val="0"/>
          <w:numId w:val="14"/>
        </w:numPr>
        <w:suppressAutoHyphens w:val="0"/>
        <w:spacing w:after="0" w:line="360" w:lineRule="atLeast"/>
        <w:jc w:val="both"/>
        <w:rPr>
          <w:rFonts w:cs="Arial"/>
          <w:sz w:val="22"/>
          <w:szCs w:val="22"/>
        </w:rPr>
      </w:pPr>
      <w:r w:rsidRPr="00B422D5">
        <w:rPr>
          <w:rFonts w:cs="Arial"/>
          <w:b/>
          <w:bCs/>
          <w:sz w:val="22"/>
          <w:szCs w:val="22"/>
        </w:rPr>
        <w:t>compilazione del quadro RR e scadenza dichiarativa</w:t>
      </w:r>
      <w:r w:rsidRPr="00B422D5">
        <w:rPr>
          <w:rFonts w:cs="Arial"/>
          <w:sz w:val="22"/>
          <w:szCs w:val="22"/>
        </w:rPr>
        <w:t>: con il termine di presentazione del Modello Redditi 2026-PF fissato al 2 novembre 2026, il contribuente si trova dinanzi a due pe</w:t>
      </w:r>
      <w:r w:rsidRPr="00B422D5">
        <w:rPr>
          <w:rFonts w:cs="Arial"/>
          <w:sz w:val="22"/>
          <w:szCs w:val="22"/>
        </w:rPr>
        <w:t>r</w:t>
      </w:r>
      <w:r w:rsidRPr="00B422D5">
        <w:rPr>
          <w:rFonts w:cs="Arial"/>
          <w:sz w:val="22"/>
          <w:szCs w:val="22"/>
        </w:rPr>
        <w:t>corsi alternativi:</w:t>
      </w:r>
    </w:p>
    <w:p w14:paraId="28C5B784" w14:textId="77777777" w:rsidR="00AB7ABE" w:rsidRPr="00B422D5" w:rsidRDefault="00AB7ABE" w:rsidP="00AB7ABE">
      <w:pPr>
        <w:numPr>
          <w:ilvl w:val="1"/>
          <w:numId w:val="14"/>
        </w:numPr>
        <w:suppressAutoHyphens w:val="0"/>
        <w:spacing w:after="0" w:line="360" w:lineRule="atLeast"/>
        <w:jc w:val="both"/>
        <w:rPr>
          <w:rFonts w:cs="Arial"/>
          <w:sz w:val="22"/>
          <w:szCs w:val="22"/>
        </w:rPr>
      </w:pPr>
      <w:r>
        <w:rPr>
          <w:rFonts w:cs="Arial"/>
          <w:b/>
          <w:bCs/>
          <w:i/>
          <w:iCs/>
          <w:sz w:val="22"/>
          <w:szCs w:val="22"/>
        </w:rPr>
        <w:t>a</w:t>
      </w:r>
      <w:r w:rsidRPr="00B422D5">
        <w:rPr>
          <w:rFonts w:cs="Arial"/>
          <w:b/>
          <w:bCs/>
          <w:i/>
          <w:iCs/>
          <w:sz w:val="22"/>
          <w:szCs w:val="22"/>
        </w:rPr>
        <w:t>desione alla prassi INPS</w:t>
      </w:r>
      <w:r w:rsidRPr="00B422D5">
        <w:rPr>
          <w:rFonts w:cs="Arial"/>
          <w:sz w:val="22"/>
          <w:szCs w:val="22"/>
        </w:rPr>
        <w:t>: indicare l'intero utile di spettanza nel quadro RR e assolv</w:t>
      </w:r>
      <w:r w:rsidRPr="00B422D5">
        <w:rPr>
          <w:rFonts w:cs="Arial"/>
          <w:sz w:val="22"/>
          <w:szCs w:val="22"/>
        </w:rPr>
        <w:t>e</w:t>
      </w:r>
      <w:r w:rsidRPr="00B422D5">
        <w:rPr>
          <w:rFonts w:cs="Arial"/>
          <w:sz w:val="22"/>
          <w:szCs w:val="22"/>
        </w:rPr>
        <w:t>re la relativa contribuzione a percentuale, evitando contestazioni immediate</w:t>
      </w:r>
      <w:r>
        <w:rPr>
          <w:rFonts w:cs="Arial"/>
          <w:sz w:val="22"/>
          <w:szCs w:val="22"/>
        </w:rPr>
        <w:t>;</w:t>
      </w:r>
    </w:p>
    <w:p w14:paraId="441E16A6" w14:textId="77777777" w:rsidR="00AB7ABE" w:rsidRPr="00B422D5" w:rsidRDefault="00AB7ABE" w:rsidP="00AB7ABE">
      <w:pPr>
        <w:numPr>
          <w:ilvl w:val="1"/>
          <w:numId w:val="14"/>
        </w:numPr>
        <w:suppressAutoHyphens w:val="0"/>
        <w:spacing w:after="0" w:line="360" w:lineRule="atLeast"/>
        <w:jc w:val="both"/>
        <w:rPr>
          <w:rFonts w:cs="Arial"/>
          <w:sz w:val="22"/>
          <w:szCs w:val="22"/>
        </w:rPr>
      </w:pPr>
      <w:r>
        <w:rPr>
          <w:rFonts w:cs="Arial"/>
          <w:b/>
          <w:bCs/>
          <w:i/>
          <w:iCs/>
          <w:sz w:val="22"/>
          <w:szCs w:val="22"/>
        </w:rPr>
        <w:t>a</w:t>
      </w:r>
      <w:r w:rsidRPr="00B422D5">
        <w:rPr>
          <w:rFonts w:cs="Arial"/>
          <w:b/>
          <w:bCs/>
          <w:i/>
          <w:iCs/>
          <w:sz w:val="22"/>
          <w:szCs w:val="22"/>
        </w:rPr>
        <w:t>pplicazione dell'orientamento di legittimità</w:t>
      </w:r>
      <w:r w:rsidRPr="00B422D5">
        <w:rPr>
          <w:rFonts w:cs="Arial"/>
          <w:sz w:val="22"/>
          <w:szCs w:val="22"/>
        </w:rPr>
        <w:t>: escludere dal quadro RR la quota di utili non percepiti e versare la contribuzione limitatamente al minimale dovuto. Questa via espone all'emissione di avvisi di addebito da parte dell'Istituto, che dovranno essere impugnati giudizialmente richiamando i precedenti di legittimità del settembre 2026. È opportuno far sottoscrivere al cliente un'apposita informativa che dia atto del rischio di accertamento</w:t>
      </w:r>
      <w:r>
        <w:rPr>
          <w:rFonts w:cs="Arial"/>
          <w:sz w:val="22"/>
          <w:szCs w:val="22"/>
        </w:rPr>
        <w:t>;</w:t>
      </w:r>
    </w:p>
    <w:p w14:paraId="5157B406" w14:textId="77777777" w:rsidR="00AB7ABE" w:rsidRPr="00B422D5" w:rsidRDefault="00AB7ABE" w:rsidP="00AB7ABE">
      <w:pPr>
        <w:numPr>
          <w:ilvl w:val="0"/>
          <w:numId w:val="14"/>
        </w:numPr>
        <w:suppressAutoHyphens w:val="0"/>
        <w:spacing w:after="0" w:line="360" w:lineRule="atLeast"/>
        <w:jc w:val="both"/>
        <w:rPr>
          <w:rFonts w:cs="Arial"/>
          <w:sz w:val="22"/>
          <w:szCs w:val="22"/>
        </w:rPr>
      </w:pPr>
      <w:r w:rsidRPr="00730E63">
        <w:rPr>
          <w:rFonts w:cs="Arial"/>
          <w:b/>
          <w:bCs/>
          <w:sz w:val="22"/>
          <w:szCs w:val="22"/>
        </w:rPr>
        <w:t>valutazione del versamento prudenziale e rischio sanzioni</w:t>
      </w:r>
      <w:r w:rsidRPr="00730E63">
        <w:rPr>
          <w:rFonts w:cs="Arial"/>
          <w:sz w:val="22"/>
          <w:szCs w:val="22"/>
        </w:rPr>
        <w:t>: le Sezioni Unite della</w:t>
      </w:r>
      <w:r w:rsidRPr="00B422D5">
        <w:rPr>
          <w:rFonts w:cs="Arial"/>
          <w:sz w:val="22"/>
          <w:szCs w:val="22"/>
        </w:rPr>
        <w:t xml:space="preserve"> Cass</w:t>
      </w:r>
      <w:r w:rsidRPr="00B422D5">
        <w:rPr>
          <w:rFonts w:cs="Arial"/>
          <w:sz w:val="22"/>
          <w:szCs w:val="22"/>
        </w:rPr>
        <w:t>a</w:t>
      </w:r>
      <w:r w:rsidRPr="00B422D5">
        <w:rPr>
          <w:rFonts w:cs="Arial"/>
          <w:sz w:val="22"/>
          <w:szCs w:val="22"/>
        </w:rPr>
        <w:t>zione (sentenza n. 12155 del 30 aprile 2026) hanno stabilito che l'applicazione delle sanzioni civili in misura ridotta per incertezza interpretativa presuppone il pagamento entro i termini fi</w:t>
      </w:r>
      <w:r w:rsidRPr="00B422D5">
        <w:rPr>
          <w:rFonts w:cs="Arial"/>
          <w:sz w:val="22"/>
          <w:szCs w:val="22"/>
        </w:rPr>
        <w:t>s</w:t>
      </w:r>
      <w:r w:rsidRPr="00B422D5">
        <w:rPr>
          <w:rFonts w:cs="Arial"/>
          <w:sz w:val="22"/>
          <w:szCs w:val="22"/>
        </w:rPr>
        <w:t>sati dall'ente impositore, anche nell'eventualità di contenzioso aperto.</w:t>
      </w:r>
      <w:r>
        <w:rPr>
          <w:rFonts w:cs="Arial"/>
          <w:sz w:val="22"/>
          <w:szCs w:val="22"/>
        </w:rPr>
        <w:t xml:space="preserve"> </w:t>
      </w:r>
      <w:r w:rsidRPr="00B422D5">
        <w:rPr>
          <w:rFonts w:cs="Arial"/>
          <w:b/>
          <w:bCs/>
          <w:sz w:val="22"/>
          <w:szCs w:val="22"/>
        </w:rPr>
        <w:t>Il contribuente che i</w:t>
      </w:r>
      <w:r w:rsidRPr="00B422D5">
        <w:rPr>
          <w:rFonts w:cs="Arial"/>
          <w:b/>
          <w:bCs/>
          <w:sz w:val="22"/>
          <w:szCs w:val="22"/>
        </w:rPr>
        <w:t>n</w:t>
      </w:r>
      <w:r w:rsidRPr="00B422D5">
        <w:rPr>
          <w:rFonts w:cs="Arial"/>
          <w:b/>
          <w:bCs/>
          <w:sz w:val="22"/>
          <w:szCs w:val="22"/>
        </w:rPr>
        <w:t>tenda azzerare il rischio di sanzioni può valutare il versamento cautelativo della contr</w:t>
      </w:r>
      <w:r w:rsidRPr="00B422D5">
        <w:rPr>
          <w:rFonts w:cs="Arial"/>
          <w:b/>
          <w:bCs/>
          <w:sz w:val="22"/>
          <w:szCs w:val="22"/>
        </w:rPr>
        <w:t>i</w:t>
      </w:r>
      <w:r w:rsidRPr="00B422D5">
        <w:rPr>
          <w:rFonts w:cs="Arial"/>
          <w:b/>
          <w:bCs/>
          <w:sz w:val="22"/>
          <w:szCs w:val="22"/>
        </w:rPr>
        <w:t>buzione richiesta, azionando successivamente l'istanza di rimborso</w:t>
      </w:r>
      <w:r w:rsidRPr="00B422D5">
        <w:rPr>
          <w:rFonts w:cs="Arial"/>
          <w:sz w:val="22"/>
          <w:szCs w:val="22"/>
        </w:rPr>
        <w:t>. In questa ipotesi, o</w:t>
      </w:r>
      <w:r w:rsidRPr="00B422D5">
        <w:rPr>
          <w:rFonts w:cs="Arial"/>
          <w:sz w:val="22"/>
          <w:szCs w:val="22"/>
        </w:rPr>
        <w:t>c</w:t>
      </w:r>
      <w:r w:rsidRPr="00B422D5">
        <w:rPr>
          <w:rFonts w:cs="Arial"/>
          <w:sz w:val="22"/>
          <w:szCs w:val="22"/>
        </w:rPr>
        <w:t>corre chiarire al cliente che le somme eventualmente restituite all'esito del giudizio decadranno dalla posizione assicurativa, riducendo di pari entità il montante contributivo utile per il calcolo della futura pensione</w:t>
      </w:r>
      <w:r>
        <w:rPr>
          <w:rFonts w:cs="Arial"/>
          <w:sz w:val="22"/>
          <w:szCs w:val="22"/>
        </w:rPr>
        <w:t>;</w:t>
      </w:r>
    </w:p>
    <w:p w14:paraId="2CA21C3A" w14:textId="77777777" w:rsidR="00AB7ABE" w:rsidRPr="00B422D5" w:rsidRDefault="00AB7ABE" w:rsidP="00AB7ABE">
      <w:pPr>
        <w:numPr>
          <w:ilvl w:val="0"/>
          <w:numId w:val="14"/>
        </w:numPr>
        <w:suppressAutoHyphens w:val="0"/>
        <w:spacing w:after="0" w:line="360" w:lineRule="atLeast"/>
        <w:jc w:val="both"/>
        <w:rPr>
          <w:rFonts w:cs="Arial"/>
          <w:sz w:val="22"/>
          <w:szCs w:val="22"/>
        </w:rPr>
      </w:pPr>
      <w:r>
        <w:rPr>
          <w:rFonts w:cs="Arial"/>
          <w:b/>
          <w:bCs/>
          <w:sz w:val="22"/>
          <w:szCs w:val="22"/>
        </w:rPr>
        <w:t>t</w:t>
      </w:r>
      <w:r w:rsidRPr="00B422D5">
        <w:rPr>
          <w:rFonts w:cs="Arial"/>
          <w:b/>
          <w:bCs/>
          <w:sz w:val="22"/>
          <w:szCs w:val="22"/>
        </w:rPr>
        <w:t>enuta e presidio della documentazione probatoria</w:t>
      </w:r>
      <w:r w:rsidRPr="00B422D5">
        <w:rPr>
          <w:rFonts w:cs="Arial"/>
          <w:sz w:val="22"/>
          <w:szCs w:val="22"/>
        </w:rPr>
        <w:t xml:space="preserve">: sebbene la Cassazione affermi che gravi sull'INPS l'onere di provare la </w:t>
      </w:r>
      <w:proofErr w:type="spellStart"/>
      <w:r w:rsidRPr="00B422D5">
        <w:rPr>
          <w:rFonts w:cs="Arial"/>
          <w:sz w:val="22"/>
          <w:szCs w:val="22"/>
        </w:rPr>
        <w:t>dichiarabilità</w:t>
      </w:r>
      <w:proofErr w:type="spellEnd"/>
      <w:r w:rsidRPr="00B422D5">
        <w:rPr>
          <w:rFonts w:cs="Arial"/>
          <w:sz w:val="22"/>
          <w:szCs w:val="22"/>
        </w:rPr>
        <w:t xml:space="preserve"> IRPEF del reddito mediante percezione effe</w:t>
      </w:r>
      <w:r w:rsidRPr="00B422D5">
        <w:rPr>
          <w:rFonts w:cs="Arial"/>
          <w:sz w:val="22"/>
          <w:szCs w:val="22"/>
        </w:rPr>
        <w:t>t</w:t>
      </w:r>
      <w:r w:rsidRPr="00B422D5">
        <w:rPr>
          <w:rFonts w:cs="Arial"/>
          <w:sz w:val="22"/>
          <w:szCs w:val="22"/>
        </w:rPr>
        <w:t>tiva o regime di trasparenza, l'impresa deve precostituire il fascicolo documentale. È opportuno conservare con cura il bilancio d'esercizio, la delibera assembleare attestante l'accantoname</w:t>
      </w:r>
      <w:r w:rsidRPr="00B422D5">
        <w:rPr>
          <w:rFonts w:cs="Arial"/>
          <w:sz w:val="22"/>
          <w:szCs w:val="22"/>
        </w:rPr>
        <w:t>n</w:t>
      </w:r>
      <w:r w:rsidRPr="00B422D5">
        <w:rPr>
          <w:rFonts w:cs="Arial"/>
          <w:sz w:val="22"/>
          <w:szCs w:val="22"/>
        </w:rPr>
        <w:t>to a riserva degli utili e la documentazione fiscale che confermi la mancata adesione alla tr</w:t>
      </w:r>
      <w:r w:rsidRPr="00B422D5">
        <w:rPr>
          <w:rFonts w:cs="Arial"/>
          <w:sz w:val="22"/>
          <w:szCs w:val="22"/>
        </w:rPr>
        <w:t>a</w:t>
      </w:r>
      <w:r w:rsidRPr="00B422D5">
        <w:rPr>
          <w:rFonts w:cs="Arial"/>
          <w:sz w:val="22"/>
          <w:szCs w:val="22"/>
        </w:rPr>
        <w:t>sparenza</w:t>
      </w:r>
      <w:r>
        <w:rPr>
          <w:rFonts w:cs="Arial"/>
          <w:sz w:val="22"/>
          <w:szCs w:val="22"/>
        </w:rPr>
        <w:t>;</w:t>
      </w:r>
    </w:p>
    <w:p w14:paraId="6221B2F0" w14:textId="77777777" w:rsidR="00AB7ABE" w:rsidRPr="00B422D5" w:rsidRDefault="00AB7ABE" w:rsidP="00AB7ABE">
      <w:pPr>
        <w:numPr>
          <w:ilvl w:val="0"/>
          <w:numId w:val="14"/>
        </w:numPr>
        <w:suppressAutoHyphens w:val="0"/>
        <w:spacing w:after="0" w:line="360" w:lineRule="atLeast"/>
        <w:jc w:val="both"/>
        <w:rPr>
          <w:rFonts w:cs="Arial"/>
          <w:sz w:val="22"/>
          <w:szCs w:val="22"/>
        </w:rPr>
      </w:pPr>
      <w:r>
        <w:rPr>
          <w:rFonts w:cs="Arial"/>
          <w:b/>
          <w:bCs/>
          <w:sz w:val="22"/>
          <w:szCs w:val="22"/>
        </w:rPr>
        <w:t>g</w:t>
      </w:r>
      <w:r w:rsidRPr="00B422D5">
        <w:rPr>
          <w:rFonts w:cs="Arial"/>
          <w:b/>
          <w:bCs/>
          <w:sz w:val="22"/>
          <w:szCs w:val="22"/>
        </w:rPr>
        <w:t>estione delle annualità pregresse e dei contenziosi pendenti</w:t>
      </w:r>
      <w:r w:rsidRPr="00B422D5">
        <w:rPr>
          <w:rFonts w:cs="Arial"/>
          <w:sz w:val="22"/>
          <w:szCs w:val="22"/>
        </w:rPr>
        <w:t>: per le annualità ancora s</w:t>
      </w:r>
      <w:r w:rsidRPr="00B422D5">
        <w:rPr>
          <w:rFonts w:cs="Arial"/>
          <w:sz w:val="22"/>
          <w:szCs w:val="22"/>
        </w:rPr>
        <w:t>u</w:t>
      </w:r>
      <w:r w:rsidRPr="00B422D5">
        <w:rPr>
          <w:rFonts w:cs="Arial"/>
          <w:sz w:val="22"/>
          <w:szCs w:val="22"/>
        </w:rPr>
        <w:t>scettibili di emenda,</w:t>
      </w:r>
      <w:r>
        <w:rPr>
          <w:rFonts w:cs="Arial"/>
          <w:sz w:val="22"/>
          <w:szCs w:val="22"/>
        </w:rPr>
        <w:t xml:space="preserve"> </w:t>
      </w:r>
      <w:r w:rsidRPr="00B422D5">
        <w:rPr>
          <w:rFonts w:cs="Arial"/>
          <w:b/>
          <w:bCs/>
          <w:sz w:val="22"/>
          <w:szCs w:val="22"/>
        </w:rPr>
        <w:t>è prospettabile la presentazione di una dichiarazione integrativa con rettifica a credito del quadro RR e successiva domanda di rimborso all'INPS</w:t>
      </w:r>
      <w:r w:rsidRPr="00B422D5">
        <w:rPr>
          <w:rFonts w:cs="Arial"/>
          <w:sz w:val="22"/>
          <w:szCs w:val="22"/>
        </w:rPr>
        <w:t>. Per i giudizi già instaurati avverso avvisi di addebito fondati su utili accantonati, le sentenze depositate a settembre 2026 rappresentano un rilevante supporto difensivo in sede processuale</w:t>
      </w:r>
      <w:r>
        <w:rPr>
          <w:rFonts w:cs="Arial"/>
          <w:sz w:val="22"/>
          <w:szCs w:val="22"/>
        </w:rPr>
        <w:t>;</w:t>
      </w:r>
    </w:p>
    <w:p w14:paraId="41DA812C" w14:textId="77777777" w:rsidR="00AB7ABE" w:rsidRPr="00B422D5" w:rsidRDefault="00AB7ABE" w:rsidP="00AB7ABE">
      <w:pPr>
        <w:numPr>
          <w:ilvl w:val="0"/>
          <w:numId w:val="14"/>
        </w:numPr>
        <w:suppressAutoHyphens w:val="0"/>
        <w:spacing w:after="0" w:line="360" w:lineRule="atLeast"/>
        <w:jc w:val="both"/>
        <w:rPr>
          <w:rFonts w:cs="Arial"/>
          <w:sz w:val="22"/>
          <w:szCs w:val="22"/>
        </w:rPr>
      </w:pPr>
      <w:r>
        <w:rPr>
          <w:rFonts w:cs="Arial"/>
          <w:b/>
          <w:bCs/>
          <w:sz w:val="22"/>
          <w:szCs w:val="22"/>
        </w:rPr>
        <w:t>c</w:t>
      </w:r>
      <w:r w:rsidRPr="00B422D5">
        <w:rPr>
          <w:rFonts w:cs="Arial"/>
          <w:b/>
          <w:bCs/>
          <w:sz w:val="22"/>
          <w:szCs w:val="22"/>
        </w:rPr>
        <w:t>autela sulle distribuzioni differite</w:t>
      </w:r>
      <w:r w:rsidRPr="00B422D5">
        <w:rPr>
          <w:rFonts w:cs="Arial"/>
          <w:sz w:val="22"/>
          <w:szCs w:val="22"/>
        </w:rPr>
        <w:t>: le pronunce non dirimono l'inquadramento contributivo che si determinerà al momento dell'effettiva distribuzione dei dividendi ai soci lavoratori, né chiariscono il regime applicabile agli utili accantonati in un dato esercizio e distribuiti in esercizi successivi. Prima di deliberare la distribuzione di riserve o esercitare l'opzione per la trasp</w:t>
      </w:r>
      <w:r w:rsidRPr="00B422D5">
        <w:rPr>
          <w:rFonts w:cs="Arial"/>
          <w:sz w:val="22"/>
          <w:szCs w:val="22"/>
        </w:rPr>
        <w:t>a</w:t>
      </w:r>
      <w:r w:rsidRPr="00B422D5">
        <w:rPr>
          <w:rFonts w:cs="Arial"/>
          <w:sz w:val="22"/>
          <w:szCs w:val="22"/>
        </w:rPr>
        <w:t>renza, è necessario quantificare preventivamente l'impatto previdenziale differito.</w:t>
      </w:r>
    </w:p>
    <w:p w14:paraId="75896DE4" w14:textId="77777777" w:rsidR="00981706" w:rsidRDefault="00981706" w:rsidP="00D07D9D">
      <w:pPr>
        <w:spacing w:line="360" w:lineRule="auto"/>
        <w:jc w:val="both"/>
        <w:rPr>
          <w:rFonts w:cs="Arial"/>
          <w:color w:val="000000"/>
          <w:sz w:val="22"/>
          <w:szCs w:val="22"/>
        </w:rPr>
      </w:pPr>
    </w:p>
    <w:p w14:paraId="57E18518" w14:textId="7C8AD7E5" w:rsidR="00FE3440" w:rsidRDefault="00D07D9D" w:rsidP="00D07D9D">
      <w:pPr>
        <w:spacing w:line="360" w:lineRule="auto"/>
        <w:jc w:val="both"/>
      </w:pPr>
      <w:r>
        <w:rPr>
          <w:rFonts w:cs="Arial"/>
          <w:color w:val="000000"/>
          <w:sz w:val="22"/>
          <w:szCs w:val="22"/>
        </w:rPr>
        <w:t>Lo Studio resta</w:t>
      </w:r>
      <w:r w:rsidRPr="00FC582A">
        <w:rPr>
          <w:rFonts w:cs="Arial"/>
          <w:color w:val="000000"/>
          <w:sz w:val="22"/>
          <w:szCs w:val="22"/>
        </w:rPr>
        <w:t xml:space="preserve"> a disposizione per ogni eventuale chiarimento</w:t>
      </w:r>
      <w:r>
        <w:rPr>
          <w:rFonts w:cs="Arial"/>
          <w:color w:val="000000"/>
          <w:sz w:val="22"/>
          <w:szCs w:val="22"/>
        </w:rPr>
        <w:t>.</w:t>
      </w:r>
      <w:r w:rsidRPr="00FC582A">
        <w:rPr>
          <w:rFonts w:cs="Arial"/>
          <w:color w:val="000000"/>
          <w:sz w:val="22"/>
          <w:szCs w:val="22"/>
        </w:rPr>
        <w:t xml:space="preserve"> </w:t>
      </w:r>
      <w:bookmarkStart w:id="0" w:name="_GoBack"/>
      <w:bookmarkEnd w:id="0"/>
    </w:p>
    <w:sectPr w:rsidR="00FE3440">
      <w:headerReference w:type="default" r:id="rId8"/>
      <w:footerReference w:type="default" r:id="rId9"/>
      <w:pgSz w:w="11906" w:h="16838"/>
      <w:pgMar w:top="993" w:right="1134" w:bottom="851" w:left="1134" w:header="708" w:footer="708" w:gutter="0"/>
      <w:pgNumType w:start="1"/>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CE831E" w14:textId="77777777" w:rsidR="00F61DB5" w:rsidRDefault="00F61DB5">
      <w:pPr>
        <w:spacing w:after="0" w:line="240" w:lineRule="auto"/>
      </w:pPr>
      <w:r>
        <w:separator/>
      </w:r>
    </w:p>
  </w:endnote>
  <w:endnote w:type="continuationSeparator" w:id="0">
    <w:p w14:paraId="1A8523D3" w14:textId="77777777" w:rsidR="00F61DB5" w:rsidRDefault="00F61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T Extra">
    <w:panose1 w:val="05050102010205020202"/>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1"/>
    <w:family w:val="roman"/>
    <w:pitch w:val="variable"/>
  </w:font>
  <w:font w:name="Noto Sans">
    <w:altName w:val="Arial"/>
    <w:charset w:val="00"/>
    <w:family w:val="swiss"/>
    <w:pitch w:val="variable"/>
    <w:sig w:usb0="00000001"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OpenSymbol;MS Gothic">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Helvetica">
    <w:panose1 w:val="020B0604020202020204"/>
    <w:charset w:val="00"/>
    <w:family w:val="swiss"/>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Eurostil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sap;Arial Narrow">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D0DCA" w14:textId="77777777" w:rsidR="00FE3440" w:rsidRDefault="00D86838">
    <w:pPr>
      <w:pStyle w:val="Pidipagina"/>
      <w:snapToGrid w:val="0"/>
      <w:ind w:left="0" w:right="360"/>
    </w:pPr>
    <w:r>
      <w:rPr>
        <w:noProof/>
        <w:lang w:eastAsia="it-IT"/>
      </w:rPr>
      <w:drawing>
        <wp:inline distT="0" distB="0" distL="0" distR="0" wp14:anchorId="5747461A" wp14:editId="6459469C">
          <wp:extent cx="3287395" cy="51371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rcRect l="-11" t="-84" r="-11" b="-84"/>
                  <a:stretch>
                    <a:fillRect/>
                  </a:stretch>
                </pic:blipFill>
                <pic:spPr bwMode="auto">
                  <a:xfrm>
                    <a:off x="0" y="0"/>
                    <a:ext cx="3287395" cy="513715"/>
                  </a:xfrm>
                  <a:prstGeom prst="rect">
                    <a:avLst/>
                  </a:prstGeom>
                  <a:noFill/>
                </pic:spPr>
              </pic:pic>
            </a:graphicData>
          </a:graphic>
        </wp:inline>
      </w:drawing>
    </w:r>
    <w:r>
      <w:rPr>
        <w:noProof/>
        <w:lang w:eastAsia="it-IT"/>
      </w:rPr>
      <mc:AlternateContent>
        <mc:Choice Requires="wps">
          <w:drawing>
            <wp:anchor distT="0" distB="0" distL="0" distR="0" simplePos="0" relativeHeight="3" behindDoc="0" locked="0" layoutInCell="0" allowOverlap="1" wp14:anchorId="4FF6AF7B" wp14:editId="45B6CF3C">
              <wp:simplePos x="0" y="0"/>
              <wp:positionH relativeFrom="margin">
                <wp:align>right</wp:align>
              </wp:positionH>
              <wp:positionV relativeFrom="paragraph">
                <wp:posOffset>635</wp:posOffset>
              </wp:positionV>
              <wp:extent cx="64135" cy="378460"/>
              <wp:effectExtent l="0" t="0" r="0" b="0"/>
              <wp:wrapSquare wrapText="bothSides"/>
              <wp:docPr id="2" name="Frame1"/>
              <wp:cNvGraphicFramePr/>
              <a:graphic xmlns:a="http://schemas.openxmlformats.org/drawingml/2006/main">
                <a:graphicData uri="http://schemas.microsoft.com/office/word/2010/wordprocessingShape">
                  <wps:wsp>
                    <wps:cNvSpPr txBox="1"/>
                    <wps:spPr>
                      <a:xfrm>
                        <a:off x="0" y="0"/>
                        <a:ext cx="64135" cy="378460"/>
                      </a:xfrm>
                      <a:prstGeom prst="rect">
                        <a:avLst/>
                      </a:prstGeom>
                      <a:solidFill>
                        <a:srgbClr val="FFFFFF">
                          <a:alpha val="0"/>
                        </a:srgbClr>
                      </a:solidFill>
                    </wps:spPr>
                    <wps:txbx>
                      <w:txbxContent>
                        <w:p w14:paraId="28CED3F7" w14:textId="77777777" w:rsidR="00FE3440" w:rsidRDefault="00D86838">
                          <w:pPr>
                            <w:pStyle w:val="Pidipagina"/>
                            <w:snapToGrid w:val="0"/>
                            <w:spacing w:before="380" w:after="0"/>
                            <w:ind w:left="0"/>
                            <w:rPr>
                              <w:rStyle w:val="Numeropagina"/>
                              <w:color w:val="000000"/>
                            </w:rPr>
                          </w:pPr>
                          <w:r>
                            <w:rPr>
                              <w:rStyle w:val="Numeropagina"/>
                              <w:color w:val="000000"/>
                            </w:rPr>
                            <w:fldChar w:fldCharType="begin"/>
                          </w:r>
                          <w:r>
                            <w:rPr>
                              <w:rStyle w:val="Numeropagina"/>
                              <w:color w:val="000000"/>
                            </w:rPr>
                            <w:instrText xml:space="preserve"> PAGE </w:instrText>
                          </w:r>
                          <w:r>
                            <w:rPr>
                              <w:rStyle w:val="Numeropagina"/>
                              <w:color w:val="000000"/>
                            </w:rPr>
                            <w:fldChar w:fldCharType="separate"/>
                          </w:r>
                          <w:r w:rsidR="00AB7ABE">
                            <w:rPr>
                              <w:rStyle w:val="Numeropagina"/>
                              <w:noProof/>
                              <w:color w:val="000000"/>
                            </w:rPr>
                            <w:t>6</w:t>
                          </w:r>
                          <w:r>
                            <w:rPr>
                              <w:rStyle w:val="Numeropagina"/>
                              <w:color w:val="000000"/>
                            </w:rPr>
                            <w:fldChar w:fldCharType="end"/>
                          </w: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Frame1" o:spid="_x0000_s1026" type="#_x0000_t202" style="position:absolute;margin-left:-46.15pt;margin-top:.05pt;width:5.05pt;height:29.8pt;z-index: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" o:allowincell="f" stroked="f">
              <v:fill opacity="0"/>
              <v:textbox inset="0,0,0,0">
                <w:txbxContent>
                  <w:p w14:paraId="28CED3F7" w14:textId="77777777" w:rsidR="00FE3440" w:rsidRDefault="00D86838">
                    <w:pPr>
                      <w:pStyle w:val="Pidipagina"/>
                      <w:snapToGrid w:val="0"/>
                      <w:spacing w:before="380" w:after="0"/>
                      <w:ind w:left="0"/>
                      <w:rPr>
                        <w:rStyle w:val="Numeropagina"/>
                        <w:color w:val="000000"/>
                      </w:rPr>
                    </w:pPr>
                    <w:r>
                      <w:rPr>
                        <w:rStyle w:val="Numeropagina"/>
                        <w:color w:val="000000"/>
                      </w:rPr>
                      <w:fldChar w:fldCharType="begin"/>
                    </w:r>
                    <w:r>
                      <w:rPr>
                        <w:rStyle w:val="Numeropagina"/>
                        <w:color w:val="000000"/>
                      </w:rPr>
                      <w:instrText xml:space="preserve"> PAGE </w:instrText>
                    </w:r>
                    <w:r>
                      <w:rPr>
                        <w:rStyle w:val="Numeropagina"/>
                        <w:color w:val="000000"/>
                      </w:rPr>
                      <w:fldChar w:fldCharType="separate"/>
                    </w:r>
                    <w:r w:rsidR="00AB7ABE">
                      <w:rPr>
                        <w:rStyle w:val="Numeropagina"/>
                        <w:noProof/>
                        <w:color w:val="000000"/>
                      </w:rPr>
                      <w:t>6</w:t>
                    </w:r>
                    <w:r>
                      <w:rPr>
                        <w:rStyle w:val="Numeropagina"/>
                        <w:color w:val="000000"/>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6A5BC4" w14:textId="77777777" w:rsidR="00F61DB5" w:rsidRDefault="00F61DB5">
      <w:pPr>
        <w:spacing w:after="0" w:line="240" w:lineRule="auto"/>
      </w:pPr>
      <w:r>
        <w:separator/>
      </w:r>
    </w:p>
  </w:footnote>
  <w:footnote w:type="continuationSeparator" w:id="0">
    <w:p w14:paraId="26F31B04" w14:textId="77777777" w:rsidR="00F61DB5" w:rsidRDefault="00F61D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5AF847" w14:textId="77777777" w:rsidR="00D90A7C" w:rsidRPr="007924C1" w:rsidRDefault="00D90A7C" w:rsidP="00D90A7C">
    <w:pPr>
      <w:pStyle w:val="Intestazione"/>
      <w:jc w:val="center"/>
      <w:rPr>
        <w:rFonts w:cs="Arial"/>
        <w:noProof/>
        <w:sz w:val="20"/>
        <w:szCs w:val="20"/>
      </w:rPr>
    </w:pPr>
    <w:r w:rsidRPr="007924C1">
      <w:rPr>
        <w:rFonts w:cs="Arial"/>
        <w:noProof/>
        <w:sz w:val="20"/>
        <w:szCs w:val="20"/>
      </w:rPr>
      <w:t>[inserire logo e/o intestazione dello studio]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B12E2"/>
    <w:multiLevelType w:val="multilevel"/>
    <w:tmpl w:val="58CE3554"/>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AF1B4A"/>
    <w:multiLevelType w:val="multilevel"/>
    <w:tmpl w:val="2AA20EA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9370FE8"/>
    <w:multiLevelType w:val="multilevel"/>
    <w:tmpl w:val="FA3A0E12"/>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CF64026"/>
    <w:multiLevelType w:val="multilevel"/>
    <w:tmpl w:val="68364624"/>
    <w:lvl w:ilvl="0">
      <w:start w:val="1"/>
      <w:numFmt w:val="bullet"/>
      <w:pStyle w:val="elencopuntato2"/>
      <w:lvlText w:val=""/>
      <w:lvlJc w:val="left"/>
      <w:pPr>
        <w:tabs>
          <w:tab w:val="num" w:pos="1440"/>
        </w:tabs>
        <w:ind w:left="1432" w:hanging="352"/>
      </w:pPr>
      <w:rPr>
        <w:rFonts w:ascii="Symbol" w:hAnsi="Symbol" w:cs="Symbol" w:hint="default"/>
        <w:b/>
        <w:i w:val="0"/>
        <w:color w:val="000080"/>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DA72B3F"/>
    <w:multiLevelType w:val="multilevel"/>
    <w:tmpl w:val="9F3ADDC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nsid w:val="355D7283"/>
    <w:multiLevelType w:val="multilevel"/>
    <w:tmpl w:val="D5384F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nsid w:val="40B8200B"/>
    <w:multiLevelType w:val="multilevel"/>
    <w:tmpl w:val="08A88A3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244734B"/>
    <w:multiLevelType w:val="multilevel"/>
    <w:tmpl w:val="CDB8B43A"/>
    <w:lvl w:ilvl="0">
      <w:start w:val="1"/>
      <w:numFmt w:val="bullet"/>
      <w:pStyle w:val="elencopuntato1"/>
      <w:lvlText w:val=""/>
      <w:lvlJc w:val="left"/>
      <w:pPr>
        <w:tabs>
          <w:tab w:val="num" w:pos="944"/>
        </w:tabs>
        <w:ind w:left="924" w:hanging="340"/>
      </w:pPr>
      <w:rPr>
        <w:rFonts w:ascii="MT Extra" w:hAnsi="MT Extra" w:cs="MT Extra" w:hint="default"/>
        <w:b/>
        <w:i w:val="0"/>
        <w:color w:val="00008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2685127"/>
    <w:multiLevelType w:val="hybridMultilevel"/>
    <w:tmpl w:val="132CEA1E"/>
    <w:lvl w:ilvl="0" w:tplc="11B21FC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4ED16B7E"/>
    <w:multiLevelType w:val="multilevel"/>
    <w:tmpl w:val="391A2146"/>
    <w:lvl w:ilvl="0">
      <w:start w:val="1"/>
      <w:numFmt w:val="bullet"/>
      <w:pStyle w:val="txtratto1"/>
      <w:lvlText w:val="−"/>
      <w:lvlJc w:val="left"/>
      <w:pPr>
        <w:tabs>
          <w:tab w:val="num" w:pos="0"/>
        </w:tabs>
        <w:ind w:left="720" w:hanging="360"/>
      </w:pPr>
      <w:rPr>
        <w:rFonts w:ascii="Garamond" w:hAnsi="Garamond" w:cs="Garamond"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31517D7"/>
    <w:multiLevelType w:val="multilevel"/>
    <w:tmpl w:val="70A62514"/>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080"/>
        </w:tabs>
        <w:ind w:left="1080" w:hanging="360"/>
      </w:p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nsid w:val="55060983"/>
    <w:multiLevelType w:val="multilevel"/>
    <w:tmpl w:val="2A1007C2"/>
    <w:lvl w:ilvl="0">
      <w:start w:val="1"/>
      <w:numFmt w:val="none"/>
      <w:pStyle w:val="Titolo1"/>
      <w:suff w:val="nothing"/>
      <w:lvlText w:val=""/>
      <w:lvlJc w:val="left"/>
      <w:pPr>
        <w:tabs>
          <w:tab w:val="num" w:pos="0"/>
        </w:tabs>
        <w:ind w:left="0" w:firstLine="0"/>
      </w:pPr>
    </w:lvl>
    <w:lvl w:ilvl="1">
      <w:start w:val="1"/>
      <w:numFmt w:val="none"/>
      <w:pStyle w:val="Titolo2"/>
      <w:suff w:val="nothing"/>
      <w:lvlText w:val=""/>
      <w:lvlJc w:val="left"/>
      <w:pPr>
        <w:tabs>
          <w:tab w:val="num" w:pos="0"/>
        </w:tabs>
        <w:ind w:left="0" w:firstLine="0"/>
      </w:pPr>
    </w:lvl>
    <w:lvl w:ilvl="2">
      <w:start w:val="1"/>
      <w:numFmt w:val="none"/>
      <w:pStyle w:val="Titolo3"/>
      <w:suff w:val="nothing"/>
      <w:lvlText w:val=""/>
      <w:lvlJc w:val="left"/>
      <w:pPr>
        <w:tabs>
          <w:tab w:val="num" w:pos="0"/>
        </w:tabs>
        <w:ind w:left="0" w:firstLine="0"/>
      </w:pPr>
    </w:lvl>
    <w:lvl w:ilvl="3">
      <w:start w:val="1"/>
      <w:numFmt w:val="none"/>
      <w:pStyle w:val="Titolo4"/>
      <w:suff w:val="nothing"/>
      <w:lvlText w:val=""/>
      <w:lvlJc w:val="left"/>
      <w:pPr>
        <w:tabs>
          <w:tab w:val="num" w:pos="0"/>
        </w:tabs>
        <w:ind w:left="0" w:firstLine="0"/>
      </w:pPr>
    </w:lvl>
    <w:lvl w:ilvl="4">
      <w:start w:val="1"/>
      <w:numFmt w:val="none"/>
      <w:pStyle w:val="Titolo5"/>
      <w:suff w:val="nothing"/>
      <w:lvlText w:val=""/>
      <w:lvlJc w:val="left"/>
      <w:pPr>
        <w:tabs>
          <w:tab w:val="num" w:pos="0"/>
        </w:tabs>
        <w:ind w:left="0" w:firstLine="0"/>
      </w:pPr>
    </w:lvl>
    <w:lvl w:ilvl="5">
      <w:start w:val="1"/>
      <w:numFmt w:val="none"/>
      <w:pStyle w:val="Titolo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5DF9653D"/>
    <w:multiLevelType w:val="multilevel"/>
    <w:tmpl w:val="419EBAC8"/>
    <w:lvl w:ilvl="0">
      <w:start w:val="1"/>
      <w:numFmt w:val="bullet"/>
      <w:pStyle w:val="Puntoelenco1"/>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8006D42"/>
    <w:multiLevelType w:val="multilevel"/>
    <w:tmpl w:val="A59001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abstractNumId w:val="11"/>
  </w:num>
  <w:num w:numId="2">
    <w:abstractNumId w:val="3"/>
  </w:num>
  <w:num w:numId="3">
    <w:abstractNumId w:val="1"/>
  </w:num>
  <w:num w:numId="4">
    <w:abstractNumId w:val="6"/>
  </w:num>
  <w:num w:numId="5">
    <w:abstractNumId w:val="9"/>
  </w:num>
  <w:num w:numId="6">
    <w:abstractNumId w:val="0"/>
  </w:num>
  <w:num w:numId="7">
    <w:abstractNumId w:val="12"/>
  </w:num>
  <w:num w:numId="8">
    <w:abstractNumId w:val="2"/>
  </w:num>
  <w:num w:numId="9">
    <w:abstractNumId w:val="7"/>
  </w:num>
  <w:num w:numId="10">
    <w:abstractNumId w:val="8"/>
  </w:num>
  <w:num w:numId="11">
    <w:abstractNumId w:val="5"/>
  </w:num>
  <w:num w:numId="12">
    <w:abstractNumId w:val="4"/>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DAyMzI1MTO0tDS3NDJU0lEKTi0uzszPAykwrQUAN0kQfCwAAAA="/>
  </w:docVars>
  <w:rsids>
    <w:rsidRoot w:val="00FE3440"/>
    <w:rsid w:val="00235387"/>
    <w:rsid w:val="0030235C"/>
    <w:rsid w:val="0040069A"/>
    <w:rsid w:val="00517659"/>
    <w:rsid w:val="00591494"/>
    <w:rsid w:val="005F16DE"/>
    <w:rsid w:val="00981706"/>
    <w:rsid w:val="00A10392"/>
    <w:rsid w:val="00AB7ABE"/>
    <w:rsid w:val="00BE34A3"/>
    <w:rsid w:val="00D07D9D"/>
    <w:rsid w:val="00D86838"/>
    <w:rsid w:val="00D90A7C"/>
    <w:rsid w:val="00F42AB1"/>
    <w:rsid w:val="00F61DB5"/>
    <w:rsid w:val="00FE34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3C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120" w:line="264" w:lineRule="auto"/>
    </w:pPr>
    <w:rPr>
      <w:rFonts w:ascii="Arial" w:eastAsia="Times New Roman" w:hAnsi="Arial" w:cs="Times New Roman"/>
      <w:sz w:val="21"/>
      <w:lang w:val="it-IT" w:bidi="ar-SA"/>
    </w:rPr>
  </w:style>
  <w:style w:type="paragraph" w:styleId="Titolo1">
    <w:name w:val="heading 1"/>
    <w:basedOn w:val="Normale"/>
    <w:next w:val="Normale"/>
    <w:uiPriority w:val="9"/>
    <w:qFormat/>
    <w:pPr>
      <w:keepNext/>
      <w:numPr>
        <w:numId w:val="1"/>
      </w:numPr>
      <w:spacing w:before="240" w:after="60"/>
      <w:outlineLvl w:val="0"/>
    </w:pPr>
    <w:rPr>
      <w:rFonts w:cs="Arial"/>
      <w:b/>
      <w:bCs/>
      <w:kern w:val="2"/>
      <w:sz w:val="32"/>
      <w:szCs w:val="32"/>
    </w:rPr>
  </w:style>
  <w:style w:type="paragraph" w:styleId="Titolo2">
    <w:name w:val="heading 2"/>
    <w:basedOn w:val="Normale"/>
    <w:next w:val="Normale"/>
    <w:uiPriority w:val="9"/>
    <w:semiHidden/>
    <w:unhideWhenUsed/>
    <w:qFormat/>
    <w:pPr>
      <w:keepNext/>
      <w:numPr>
        <w:ilvl w:val="1"/>
        <w:numId w:val="1"/>
      </w:numPr>
      <w:spacing w:before="240" w:after="60"/>
      <w:outlineLvl w:val="1"/>
    </w:pPr>
    <w:rPr>
      <w:rFonts w:cs="Arial"/>
      <w:b/>
      <w:bCs/>
      <w:i/>
      <w:iCs/>
      <w:sz w:val="28"/>
      <w:szCs w:val="28"/>
    </w:rPr>
  </w:style>
  <w:style w:type="paragraph" w:styleId="Titolo3">
    <w:name w:val="heading 3"/>
    <w:basedOn w:val="Normale"/>
    <w:next w:val="Normale"/>
    <w:uiPriority w:val="9"/>
    <w:semiHidden/>
    <w:unhideWhenUsed/>
    <w:qFormat/>
    <w:pPr>
      <w:keepNext/>
      <w:numPr>
        <w:ilvl w:val="2"/>
        <w:numId w:val="1"/>
      </w:numPr>
      <w:spacing w:before="240" w:after="60"/>
      <w:outlineLvl w:val="2"/>
    </w:pPr>
    <w:rPr>
      <w:rFonts w:cs="Arial"/>
      <w:b/>
      <w:bCs/>
      <w:sz w:val="26"/>
      <w:szCs w:val="26"/>
    </w:rPr>
  </w:style>
  <w:style w:type="paragraph" w:styleId="Titolo4">
    <w:name w:val="heading 4"/>
    <w:basedOn w:val="Normale"/>
    <w:next w:val="Normale"/>
    <w:uiPriority w:val="9"/>
    <w:semiHidden/>
    <w:unhideWhenUsed/>
    <w:qFormat/>
    <w:pPr>
      <w:keepNext/>
      <w:numPr>
        <w:ilvl w:val="3"/>
        <w:numId w:val="1"/>
      </w:numPr>
      <w:spacing w:before="240" w:after="60"/>
      <w:outlineLvl w:val="3"/>
    </w:pPr>
    <w:rPr>
      <w:b/>
      <w:bCs/>
      <w:sz w:val="28"/>
      <w:szCs w:val="28"/>
    </w:rPr>
  </w:style>
  <w:style w:type="paragraph" w:styleId="Titolo5">
    <w:name w:val="heading 5"/>
    <w:basedOn w:val="Normale"/>
    <w:next w:val="Normale"/>
    <w:uiPriority w:val="9"/>
    <w:semiHidden/>
    <w:unhideWhenUsed/>
    <w:qFormat/>
    <w:pPr>
      <w:numPr>
        <w:ilvl w:val="4"/>
        <w:numId w:val="1"/>
      </w:numPr>
      <w:spacing w:before="240" w:after="60"/>
      <w:outlineLvl w:val="4"/>
    </w:pPr>
    <w:rPr>
      <w:rFonts w:ascii="Calibri" w:hAnsi="Calibri"/>
      <w:b/>
      <w:bCs/>
      <w:i/>
      <w:iCs/>
      <w:sz w:val="26"/>
      <w:szCs w:val="26"/>
    </w:rPr>
  </w:style>
  <w:style w:type="paragraph" w:styleId="Titolo6">
    <w:name w:val="heading 6"/>
    <w:basedOn w:val="Normale"/>
    <w:next w:val="Normale"/>
    <w:uiPriority w:val="9"/>
    <w:semiHidden/>
    <w:unhideWhenUsed/>
    <w:qFormat/>
    <w:pPr>
      <w:numPr>
        <w:ilvl w:val="5"/>
        <w:numId w:val="1"/>
      </w:numPr>
      <w:spacing w:before="240" w:after="60"/>
      <w:outlineLvl w:val="5"/>
    </w:pPr>
    <w:rPr>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rPr>
      <w:rFonts w:ascii="OpenSymbol;MS Gothic" w:hAnsi="OpenSymbol;MS Gothic" w:cs="OpenSymbol;MS Gothic"/>
      <w:b/>
      <w:i w:val="0"/>
      <w:color w:val="000080"/>
      <w:sz w:val="20"/>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rPr>
      <w:rFonts w:ascii="Wingdings" w:hAnsi="Wingdings" w:cs="Wingdings"/>
      <w:b/>
      <w:color w:val="000000"/>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Garamond" w:hAnsi="Garamond" w:cs="Garamond"/>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Wingdings" w:hAnsi="Wingdings" w:cs="Wingdings"/>
      <w:b/>
      <w:color w:val="000000"/>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Wingdings" w:hAnsi="Wingdings" w:cs="Wingdings"/>
    </w:rPr>
  </w:style>
  <w:style w:type="character" w:customStyle="1" w:styleId="WW8Num13z1">
    <w:name w:val="WW8Num13z1"/>
    <w:qFormat/>
    <w:rPr>
      <w:rFonts w:ascii="Courier New" w:hAnsi="Courier New" w:cs="Courier New"/>
    </w:rPr>
  </w:style>
  <w:style w:type="character" w:customStyle="1" w:styleId="WW8Num13z3">
    <w:name w:val="WW8Num13z3"/>
    <w:qFormat/>
    <w:rPr>
      <w:rFonts w:ascii="Symbol" w:hAnsi="Symbol" w:cs="Symbol"/>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rPr>
      <w:rFonts w:ascii="Roboto" w:hAnsi="Roboto" w:cs="Roboto"/>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rFonts w:ascii="Wingdings" w:hAnsi="Wingdings" w:cs="Wingdings"/>
      <w:b/>
      <w:color w:val="000000"/>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8z3">
    <w:name w:val="WW8Num28z3"/>
    <w:qFormat/>
    <w:rPr>
      <w:rFonts w:ascii="Symbol" w:hAnsi="Symbol" w:cs="Symbol"/>
    </w:rPr>
  </w:style>
  <w:style w:type="character" w:customStyle="1" w:styleId="WW8Num29z0">
    <w:name w:val="WW8Num29z0"/>
    <w:qFormat/>
    <w:rPr>
      <w:rFonts w:ascii="Wingdings" w:hAnsi="Wingdings" w:cs="Wingdings"/>
      <w:b/>
      <w:color w:val="000000"/>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1z0">
    <w:name w:val="WW8Num31z0"/>
    <w:qFormat/>
    <w:rPr>
      <w:rFonts w:ascii="Wingdings" w:hAnsi="Wingdings" w:cs="Wingdings"/>
    </w:rPr>
  </w:style>
  <w:style w:type="character" w:customStyle="1" w:styleId="WW8Num31z1">
    <w:name w:val="WW8Num31z1"/>
    <w:qFormat/>
    <w:rPr>
      <w:rFonts w:ascii="Courier New" w:hAnsi="Courier New" w:cs="Courier New"/>
    </w:rPr>
  </w:style>
  <w:style w:type="character" w:customStyle="1" w:styleId="WW8Num31z3">
    <w:name w:val="WW8Num31z3"/>
    <w:qFormat/>
    <w:rPr>
      <w:rFonts w:ascii="Symbol" w:hAnsi="Symbol" w:cs="Symbol"/>
    </w:rPr>
  </w:style>
  <w:style w:type="character" w:customStyle="1" w:styleId="WW8Num32z0">
    <w:name w:val="WW8Num32z0"/>
    <w:qFormat/>
    <w:rPr>
      <w:rFonts w:ascii="Symbol" w:hAnsi="Symbol" w:cs="Symbol"/>
      <w:sz w:val="20"/>
    </w:rPr>
  </w:style>
  <w:style w:type="character" w:customStyle="1" w:styleId="WW8Num32z1">
    <w:name w:val="WW8Num32z1"/>
    <w:qFormat/>
    <w:rPr>
      <w:rFonts w:ascii="Courier New" w:hAnsi="Courier New" w:cs="Courier New"/>
      <w:sz w:val="20"/>
    </w:rPr>
  </w:style>
  <w:style w:type="character" w:customStyle="1" w:styleId="WW8Num32z2">
    <w:name w:val="WW8Num32z2"/>
    <w:qFormat/>
    <w:rPr>
      <w:rFonts w:ascii="Wingdings" w:hAnsi="Wingdings" w:cs="Wingdings"/>
      <w:sz w:val="20"/>
    </w:rPr>
  </w:style>
  <w:style w:type="character" w:customStyle="1" w:styleId="WW8Num33z0">
    <w:name w:val="WW8Num33z0"/>
    <w:qFormat/>
    <w:rPr>
      <w:rFonts w:ascii="OpenSymbol;MS Gothic" w:hAnsi="OpenSymbol;MS Gothic" w:cs="OpenSymbol;MS Gothic"/>
      <w:b/>
      <w:i w:val="0"/>
      <w:color w:val="000080"/>
    </w:rPr>
  </w:style>
  <w:style w:type="character" w:customStyle="1" w:styleId="WW8Num33z1">
    <w:name w:val="WW8Num33z1"/>
    <w:qFormat/>
    <w:rPr>
      <w:rFonts w:ascii="Times New Roman" w:hAnsi="Times New Roman" w:cs="Times New Roman"/>
      <w:b/>
      <w:i w:val="0"/>
      <w:color w:val="000080"/>
    </w:rPr>
  </w:style>
  <w:style w:type="character" w:customStyle="1" w:styleId="WW8Num33z2">
    <w:name w:val="WW8Num33z2"/>
    <w:qFormat/>
    <w:rPr>
      <w:rFonts w:ascii="Wingdings" w:hAnsi="Wingdings" w:cs="Wingdings"/>
    </w:rPr>
  </w:style>
  <w:style w:type="character" w:customStyle="1" w:styleId="WW8Num33z3">
    <w:name w:val="WW8Num33z3"/>
    <w:qFormat/>
    <w:rPr>
      <w:rFonts w:ascii="Symbol" w:hAnsi="Symbol" w:cs="Symbol"/>
    </w:rPr>
  </w:style>
  <w:style w:type="character" w:customStyle="1" w:styleId="WW8Num33z4">
    <w:name w:val="WW8Num33z4"/>
    <w:qFormat/>
    <w:rPr>
      <w:rFonts w:ascii="Courier New" w:hAnsi="Courier New" w:cs="Courier New"/>
    </w:rPr>
  </w:style>
  <w:style w:type="character" w:customStyle="1" w:styleId="WW8Num34z0">
    <w:name w:val="WW8Num34z0"/>
    <w:qFormat/>
    <w:rPr>
      <w:rFonts w:ascii="Wingdings" w:hAnsi="Wingdings" w:cs="Wingdings"/>
    </w:rPr>
  </w:style>
  <w:style w:type="character" w:customStyle="1" w:styleId="WW8Num34z1">
    <w:name w:val="WW8Num34z1"/>
    <w:qFormat/>
    <w:rPr>
      <w:rFonts w:ascii="Courier New" w:hAnsi="Courier New" w:cs="Courier New"/>
    </w:rPr>
  </w:style>
  <w:style w:type="character" w:customStyle="1" w:styleId="WW8Num34z3">
    <w:name w:val="WW8Num34z3"/>
    <w:qFormat/>
    <w:rPr>
      <w:rFonts w:ascii="Symbol" w:hAnsi="Symbol" w:cs="Symbol"/>
    </w:rPr>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6z0">
    <w:name w:val="WW8Num36z0"/>
    <w:qFormat/>
    <w:rPr>
      <w:rFonts w:ascii="Symbol" w:hAnsi="Symbol" w:cs="Symbol"/>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cs="Wingdings"/>
    </w:rPr>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styleId="Collegamentoipertestuale">
    <w:name w:val="Hyperlink"/>
    <w:rPr>
      <w:rFonts w:cs="Times New Roman"/>
      <w:color w:val="0000FF"/>
      <w:u w:val="single"/>
    </w:rPr>
  </w:style>
  <w:style w:type="character" w:styleId="Numeropagina">
    <w:name w:val="page number"/>
    <w:rPr>
      <w:rFonts w:ascii="Helvetica" w:hAnsi="Helvetica" w:cs="Times New Roman"/>
      <w:color w:val="C0C0C0"/>
      <w:sz w:val="18"/>
    </w:rPr>
  </w:style>
  <w:style w:type="character" w:customStyle="1" w:styleId="CorpotestoCarattere">
    <w:name w:val="Corpo testo Carattere"/>
    <w:qFormat/>
    <w:rPr>
      <w:rFonts w:ascii="Helvetica" w:hAnsi="Helvetica" w:cs="Helvetica"/>
      <w:szCs w:val="24"/>
      <w:lang w:val="it-IT" w:bidi="ar-SA"/>
    </w:rPr>
  </w:style>
  <w:style w:type="character" w:customStyle="1" w:styleId="elencopuntato1Carattere">
    <w:name w:val="elenco puntato1 Carattere"/>
    <w:qFormat/>
    <w:rPr>
      <w:rFonts w:ascii="Helvetica" w:hAnsi="Helvetica" w:cs="Helvetica"/>
      <w:szCs w:val="24"/>
    </w:rPr>
  </w:style>
  <w:style w:type="character" w:customStyle="1" w:styleId="elencopuntato2Carattere">
    <w:name w:val="elenco puntato2 Carattere"/>
    <w:qFormat/>
    <w:rPr>
      <w:rFonts w:ascii="Helvetica" w:hAnsi="Helvetica" w:cs="Helvetica"/>
      <w:szCs w:val="24"/>
    </w:rPr>
  </w:style>
  <w:style w:type="character" w:customStyle="1" w:styleId="apple-converted-space">
    <w:name w:val="apple-converted-space"/>
    <w:basedOn w:val="Carpredefinitoparagrafo"/>
    <w:qFormat/>
  </w:style>
  <w:style w:type="character" w:styleId="Enfasicorsivo">
    <w:name w:val="Emphasis"/>
    <w:qFormat/>
    <w:rPr>
      <w:i/>
      <w:iCs/>
    </w:rPr>
  </w:style>
  <w:style w:type="character" w:styleId="Enfasigrassetto">
    <w:name w:val="Strong"/>
    <w:qFormat/>
    <w:rPr>
      <w:b/>
      <w:bCs/>
    </w:rPr>
  </w:style>
  <w:style w:type="character" w:customStyle="1" w:styleId="IntestazioneCarattere">
    <w:name w:val="Intestazione Carattere"/>
    <w:qFormat/>
    <w:rPr>
      <w:rFonts w:eastAsia="MS Mincho"/>
      <w:sz w:val="24"/>
      <w:szCs w:val="24"/>
      <w:lang w:val="it-IT" w:eastAsia="ja-JP" w:bidi="ar-SA"/>
    </w:rPr>
  </w:style>
  <w:style w:type="character" w:customStyle="1" w:styleId="EndnoteCharacters">
    <w:name w:val="Endnote Characters"/>
    <w:qFormat/>
    <w:rPr>
      <w:rFonts w:cs="Times New Roman"/>
      <w:vertAlign w:val="superscript"/>
    </w:rPr>
  </w:style>
  <w:style w:type="character" w:customStyle="1" w:styleId="Corpodeltesto2Carattere">
    <w:name w:val="Corpo del testo 2 Carattere"/>
    <w:qFormat/>
    <w:rPr>
      <w:lang w:val="it-IT" w:bidi="ar-SA"/>
    </w:rPr>
  </w:style>
  <w:style w:type="character" w:customStyle="1" w:styleId="Corpodeltesto3Carattere">
    <w:name w:val="Corpo del testo 3 Carattere"/>
    <w:qFormat/>
    <w:rPr>
      <w:sz w:val="16"/>
      <w:szCs w:val="16"/>
    </w:rPr>
  </w:style>
  <w:style w:type="character" w:styleId="AcronimoHTML">
    <w:name w:val="HTML Acronym"/>
    <w:qFormat/>
    <w:rPr>
      <w:rFonts w:cs="Times New Roman"/>
    </w:rPr>
  </w:style>
  <w:style w:type="character" w:customStyle="1" w:styleId="Titolo5Carattere">
    <w:name w:val="Titolo 5 Carattere"/>
    <w:qFormat/>
    <w:rPr>
      <w:rFonts w:ascii="Calibri" w:eastAsia="Times New Roman" w:hAnsi="Calibri" w:cs="Times New Roman"/>
      <w:b/>
      <w:bCs/>
      <w:i/>
      <w:iCs/>
      <w:sz w:val="26"/>
      <w:szCs w:val="26"/>
    </w:rPr>
  </w:style>
  <w:style w:type="character" w:customStyle="1" w:styleId="TestonotaapidipaginaCarattere">
    <w:name w:val="Testo nota a piè di pagina Carattere"/>
    <w:basedOn w:val="Carpredefinitoparagrafo"/>
    <w:qFormat/>
  </w:style>
  <w:style w:type="character" w:customStyle="1" w:styleId="FootnoteCharacters">
    <w:name w:val="Footnote Characters"/>
    <w:qFormat/>
    <w:rPr>
      <w:vertAlign w:val="superscript"/>
    </w:rPr>
  </w:style>
  <w:style w:type="character" w:customStyle="1" w:styleId="TestonotaapidipaginaCarattere1">
    <w:name w:val="Testo nota a piè di pagina Carattere1"/>
    <w:qFormat/>
  </w:style>
  <w:style w:type="character" w:customStyle="1" w:styleId="Rientrocorpodeltesto3Carattere">
    <w:name w:val="Rientro corpo del testo 3 Carattere"/>
    <w:qFormat/>
    <w:rPr>
      <w:sz w:val="16"/>
      <w:szCs w:val="16"/>
    </w:rPr>
  </w:style>
  <w:style w:type="character" w:customStyle="1" w:styleId="Titolo6Carattere">
    <w:name w:val="Titolo 6 Carattere"/>
    <w:qFormat/>
    <w:rPr>
      <w:b/>
      <w:bCs/>
      <w:sz w:val="22"/>
      <w:szCs w:val="22"/>
    </w:rPr>
  </w:style>
  <w:style w:type="character" w:customStyle="1" w:styleId="testo-note-sep">
    <w:name w:val="testo-note-sep"/>
    <w:qFormat/>
  </w:style>
  <w:style w:type="character" w:customStyle="1" w:styleId="linkarticolo">
    <w:name w:val="linkarticolo"/>
    <w:qFormat/>
  </w:style>
  <w:style w:type="character" w:customStyle="1" w:styleId="CitazioneintensaCarattere">
    <w:name w:val="Citazione intensa Carattere"/>
    <w:qFormat/>
    <w:rPr>
      <w:b/>
      <w:bCs/>
      <w:i/>
      <w:iCs/>
      <w:color w:val="4F81BD"/>
      <w:sz w:val="24"/>
      <w:szCs w:val="24"/>
      <w:lang w:val="en-US"/>
    </w:rPr>
  </w:style>
  <w:style w:type="character" w:customStyle="1" w:styleId="UnresolvedMention">
    <w:name w:val="Unresolved Mention"/>
    <w:qFormat/>
    <w:rPr>
      <w:color w:val="605E5C"/>
      <w:shd w:val="clear" w:color="auto" w:fill="E1DFDD"/>
    </w:rPr>
  </w:style>
  <w:style w:type="paragraph" w:customStyle="1" w:styleId="Heading">
    <w:name w:val="Heading"/>
    <w:basedOn w:val="Normale"/>
    <w:next w:val="Corpotesto"/>
    <w:qFormat/>
    <w:pPr>
      <w:overflowPunct w:val="0"/>
      <w:autoSpaceDE w:val="0"/>
      <w:spacing w:line="360" w:lineRule="atLeast"/>
      <w:jc w:val="center"/>
      <w:textAlignment w:val="baseline"/>
    </w:pPr>
    <w:rPr>
      <w:rFonts w:cs="Arial"/>
      <w:b/>
      <w:sz w:val="23"/>
      <w:szCs w:val="20"/>
    </w:rPr>
  </w:style>
  <w:style w:type="paragraph" w:styleId="Corpotesto">
    <w:name w:val="Body Text"/>
    <w:basedOn w:val="Normale"/>
    <w:pPr>
      <w:spacing w:line="360" w:lineRule="auto"/>
      <w:jc w:val="both"/>
    </w:pPr>
    <w:rPr>
      <w:rFonts w:ascii="Helvetica" w:hAnsi="Helvetica" w:cs="Helvetica"/>
      <w:sz w:val="20"/>
    </w:rPr>
  </w:style>
  <w:style w:type="paragraph" w:styleId="Elenco">
    <w:name w:val="List"/>
    <w:basedOn w:val="Corpotesto"/>
  </w:style>
  <w:style w:type="paragraph" w:styleId="Didascalia">
    <w:name w:val="caption"/>
    <w:basedOn w:val="Normale"/>
    <w:qFormat/>
    <w:pPr>
      <w:suppressLineNumbers/>
      <w:spacing w:before="120"/>
    </w:pPr>
    <w:rPr>
      <w:i/>
      <w:iCs/>
      <w:sz w:val="24"/>
    </w:rPr>
  </w:style>
  <w:style w:type="paragraph" w:customStyle="1" w:styleId="Index">
    <w:name w:val="Index"/>
    <w:basedOn w:val="Normale"/>
    <w:qFormat/>
    <w:pPr>
      <w:suppressLineNumbers/>
    </w:pPr>
  </w:style>
  <w:style w:type="paragraph" w:customStyle="1" w:styleId="chiusura">
    <w:name w:val="chiusura"/>
    <w:basedOn w:val="Titolo4"/>
    <w:qFormat/>
    <w:pPr>
      <w:numPr>
        <w:ilvl w:val="0"/>
        <w:numId w:val="0"/>
      </w:numPr>
      <w:spacing w:before="0" w:after="0"/>
      <w:outlineLvl w:val="9"/>
    </w:pPr>
    <w:rPr>
      <w:rFonts w:ascii="Helvetica" w:hAnsi="Helvetica" w:cs="Helvetica"/>
      <w:i/>
      <w:iCs/>
      <w:sz w:val="16"/>
      <w:szCs w:val="24"/>
    </w:rPr>
  </w:style>
  <w:style w:type="paragraph" w:customStyle="1" w:styleId="datapubblicazione">
    <w:name w:val="data pubblicazione"/>
    <w:basedOn w:val="Normale"/>
    <w:qFormat/>
    <w:pPr>
      <w:ind w:left="4111"/>
    </w:pPr>
    <w:rPr>
      <w:rFonts w:ascii="Helvetica" w:hAnsi="Helvetica" w:cs="Helvetica"/>
      <w:color w:val="000000"/>
      <w:w w:val="95"/>
    </w:rPr>
  </w:style>
  <w:style w:type="paragraph" w:customStyle="1" w:styleId="Dirittiriservati">
    <w:name w:val="Diritti riservati"/>
    <w:basedOn w:val="Normale"/>
    <w:qFormat/>
    <w:pPr>
      <w:jc w:val="both"/>
    </w:pPr>
    <w:rPr>
      <w:rFonts w:ascii="Helvetica" w:hAnsi="Helvetica" w:cs="Helvetica"/>
      <w:color w:val="808080"/>
      <w:sz w:val="16"/>
    </w:rPr>
  </w:style>
  <w:style w:type="paragraph" w:customStyle="1" w:styleId="disclaimer">
    <w:name w:val="disclaimer"/>
    <w:basedOn w:val="Corpotesto"/>
    <w:qFormat/>
    <w:pPr>
      <w:spacing w:after="0" w:line="240" w:lineRule="auto"/>
    </w:pPr>
    <w:rPr>
      <w:sz w:val="16"/>
    </w:rPr>
  </w:style>
  <w:style w:type="paragraph" w:customStyle="1" w:styleId="elencopuntato1">
    <w:name w:val="elenco puntato1"/>
    <w:basedOn w:val="Corpotesto"/>
    <w:qFormat/>
    <w:pPr>
      <w:numPr>
        <w:numId w:val="9"/>
      </w:numPr>
    </w:pPr>
  </w:style>
  <w:style w:type="paragraph" w:customStyle="1" w:styleId="elencopuntato2">
    <w:name w:val="elenco puntato2"/>
    <w:basedOn w:val="Corpotesto"/>
    <w:qFormat/>
    <w:pPr>
      <w:numPr>
        <w:numId w:val="2"/>
      </w:numPr>
    </w:pPr>
  </w:style>
  <w:style w:type="paragraph" w:styleId="Indice1">
    <w:name w:val="index 1"/>
    <w:basedOn w:val="Normale"/>
    <w:next w:val="Normale"/>
    <w:pPr>
      <w:spacing w:line="312" w:lineRule="auto"/>
      <w:ind w:left="4111"/>
    </w:pPr>
    <w:rPr>
      <w:rFonts w:ascii="Helvetica" w:hAnsi="Helvetica" w:cs="Helvetica"/>
      <w:color w:val="808080"/>
      <w:sz w:val="28"/>
      <w:lang w:val="en-US" w:eastAsia="en-US"/>
    </w:rPr>
  </w:style>
  <w:style w:type="paragraph" w:customStyle="1" w:styleId="indirizzowww">
    <w:name w:val="indirizzo www"/>
    <w:basedOn w:val="datapubblicazione"/>
    <w:qFormat/>
    <w:rPr>
      <w:color w:val="C0C0C0"/>
    </w:rPr>
  </w:style>
  <w:style w:type="paragraph" w:customStyle="1" w:styleId="HeaderandFooter">
    <w:name w:val="Header and Footer"/>
    <w:basedOn w:val="Normale"/>
    <w:qFormat/>
    <w:pPr>
      <w:suppressLineNumbers/>
      <w:tabs>
        <w:tab w:val="center" w:pos="4819"/>
        <w:tab w:val="right" w:pos="9638"/>
      </w:tabs>
    </w:pPr>
  </w:style>
  <w:style w:type="paragraph" w:styleId="Intestazione">
    <w:name w:val="header"/>
    <w:basedOn w:val="Normale"/>
    <w:pPr>
      <w:tabs>
        <w:tab w:val="center" w:pos="4819"/>
        <w:tab w:val="right" w:pos="9638"/>
      </w:tabs>
    </w:pPr>
  </w:style>
  <w:style w:type="paragraph" w:customStyle="1" w:styleId="redattore">
    <w:name w:val="redattore"/>
    <w:basedOn w:val="Normale"/>
    <w:qFormat/>
    <w:pPr>
      <w:jc w:val="center"/>
    </w:pPr>
    <w:rPr>
      <w:rFonts w:ascii="Helvetica" w:hAnsi="Helvetica" w:cs="Helvetica"/>
      <w:i/>
      <w:sz w:val="20"/>
    </w:rPr>
  </w:style>
  <w:style w:type="paragraph" w:customStyle="1" w:styleId="marginiredattore">
    <w:name w:val="marginiredattore"/>
    <w:basedOn w:val="redattore"/>
    <w:qFormat/>
    <w:rPr>
      <w:color w:val="333399"/>
      <w:sz w:val="24"/>
    </w:rPr>
  </w:style>
  <w:style w:type="paragraph" w:styleId="Pidipagina">
    <w:name w:val="footer"/>
    <w:basedOn w:val="Normale"/>
    <w:pPr>
      <w:tabs>
        <w:tab w:val="center" w:pos="4819"/>
        <w:tab w:val="right" w:pos="9638"/>
      </w:tabs>
      <w:ind w:left="4139"/>
    </w:pPr>
    <w:rPr>
      <w:rFonts w:ascii="Helvetica" w:hAnsi="Helvetica" w:cs="Helvetica"/>
      <w:color w:val="C0C0C0"/>
      <w:sz w:val="16"/>
    </w:rPr>
  </w:style>
  <w:style w:type="paragraph" w:customStyle="1" w:styleId="Pidipaginasezionecontenuti">
    <w:name w:val="Piè di pagina sezione contenuti"/>
    <w:basedOn w:val="Pidipagina"/>
    <w:qFormat/>
    <w:pPr>
      <w:ind w:left="2268"/>
    </w:pPr>
  </w:style>
  <w:style w:type="paragraph" w:customStyle="1" w:styleId="redatto">
    <w:name w:val="redatto"/>
    <w:basedOn w:val="Normale"/>
    <w:qFormat/>
    <w:pPr>
      <w:ind w:left="4111"/>
    </w:pPr>
    <w:rPr>
      <w:rFonts w:ascii="Helvetica" w:hAnsi="Helvetica" w:cs="Helvetica"/>
      <w:color w:val="808080"/>
    </w:rPr>
  </w:style>
  <w:style w:type="paragraph" w:customStyle="1" w:styleId="titolodocumento">
    <w:name w:val="titolo documento"/>
    <w:basedOn w:val="Normale"/>
    <w:qFormat/>
    <w:pPr>
      <w:ind w:right="-30"/>
      <w:jc w:val="center"/>
    </w:pPr>
    <w:rPr>
      <w:rFonts w:ascii="Georgia" w:hAnsi="Georgia" w:cs="Georgia"/>
      <w:b/>
      <w:bCs/>
      <w:color w:val="000099"/>
      <w:sz w:val="40"/>
      <w:szCs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Titoloindice">
    <w:name w:val="index heading"/>
    <w:basedOn w:val="Normale"/>
    <w:next w:val="Indice1"/>
  </w:style>
  <w:style w:type="paragraph" w:customStyle="1" w:styleId="titolo10">
    <w:name w:val="titolo1"/>
    <w:basedOn w:val="Titolo1"/>
    <w:qFormat/>
    <w:pPr>
      <w:numPr>
        <w:numId w:val="0"/>
      </w:numPr>
      <w:outlineLvl w:val="9"/>
    </w:pPr>
    <w:rPr>
      <w:rFonts w:ascii="Bookman Old Style" w:hAnsi="Bookman Old Style" w:cs="Times New Roman"/>
      <w:color w:val="000099"/>
      <w:sz w:val="28"/>
      <w:szCs w:val="24"/>
    </w:rPr>
  </w:style>
  <w:style w:type="paragraph" w:customStyle="1" w:styleId="titolo20">
    <w:name w:val="titolo2"/>
    <w:basedOn w:val="Titolo2"/>
    <w:qFormat/>
    <w:pPr>
      <w:numPr>
        <w:ilvl w:val="0"/>
        <w:numId w:val="0"/>
      </w:numPr>
      <w:outlineLvl w:val="9"/>
    </w:pPr>
    <w:rPr>
      <w:rFonts w:ascii="Bookman Old Style" w:hAnsi="Bookman Old Style" w:cs="Times New Roman"/>
      <w:bCs w:val="0"/>
      <w:iCs w:val="0"/>
      <w:color w:val="000099"/>
      <w:sz w:val="22"/>
      <w:szCs w:val="24"/>
    </w:rPr>
  </w:style>
  <w:style w:type="paragraph" w:customStyle="1" w:styleId="titolo30">
    <w:name w:val="titolo3"/>
    <w:basedOn w:val="Titolo3"/>
    <w:qFormat/>
    <w:pPr>
      <w:numPr>
        <w:ilvl w:val="0"/>
        <w:numId w:val="0"/>
      </w:numPr>
      <w:outlineLvl w:val="9"/>
    </w:pPr>
    <w:rPr>
      <w:rFonts w:ascii="Bookman Old Style" w:hAnsi="Bookman Old Style" w:cs="Times New Roman"/>
      <w:b w:val="0"/>
      <w:bCs w:val="0"/>
      <w:i/>
      <w:iCs/>
      <w:color w:val="000099"/>
      <w:sz w:val="22"/>
      <w:szCs w:val="24"/>
    </w:rPr>
  </w:style>
  <w:style w:type="paragraph" w:customStyle="1" w:styleId="abstract">
    <w:name w:val="abstract"/>
    <w:basedOn w:val="Normale"/>
    <w:qFormat/>
    <w:pPr>
      <w:ind w:right="-30"/>
      <w:jc w:val="center"/>
    </w:pPr>
    <w:rPr>
      <w:rFonts w:ascii="Helvetica" w:hAnsi="Helvetica" w:cs="Helvetica"/>
      <w:b/>
      <w:bCs/>
      <w:i/>
      <w:iCs/>
      <w:sz w:val="20"/>
      <w:szCs w:val="28"/>
    </w:rPr>
  </w:style>
  <w:style w:type="paragraph" w:customStyle="1" w:styleId="hTestoTabella">
    <w:name w:val="h) Testo Tabella"/>
    <w:basedOn w:val="Normale"/>
    <w:qFormat/>
    <w:pPr>
      <w:widowControl w:val="0"/>
      <w:autoSpaceDE w:val="0"/>
      <w:spacing w:line="258" w:lineRule="atLeast"/>
      <w:jc w:val="both"/>
      <w:textAlignment w:val="center"/>
    </w:pPr>
    <w:rPr>
      <w:rFonts w:ascii="Eurostile" w:hAnsi="Eurostile" w:cs="Eurostile"/>
      <w:color w:val="000000"/>
      <w:sz w:val="20"/>
      <w:szCs w:val="20"/>
    </w:rPr>
  </w:style>
  <w:style w:type="paragraph" w:styleId="Testonormale">
    <w:name w:val="Plain Text"/>
    <w:basedOn w:val="Normale"/>
    <w:qFormat/>
    <w:rPr>
      <w:rFonts w:ascii="Courier New" w:hAnsi="Courier New" w:cs="Courier New"/>
      <w:sz w:val="20"/>
      <w:szCs w:val="20"/>
    </w:rPr>
  </w:style>
  <w:style w:type="paragraph" w:styleId="NormaleWeb">
    <w:name w:val="Normal (Web)"/>
    <w:basedOn w:val="Normale"/>
    <w:qFormat/>
    <w:pPr>
      <w:spacing w:before="280" w:after="280"/>
    </w:pPr>
  </w:style>
  <w:style w:type="paragraph" w:styleId="Data">
    <w:name w:val="Date"/>
    <w:basedOn w:val="Normale"/>
    <w:next w:val="Normale"/>
    <w:qFormat/>
  </w:style>
  <w:style w:type="paragraph" w:styleId="Mappadocumento">
    <w:name w:val="Document Map"/>
    <w:basedOn w:val="Normale"/>
    <w:qFormat/>
    <w:pPr>
      <w:shd w:val="clear" w:color="auto" w:fill="000080"/>
    </w:pPr>
    <w:rPr>
      <w:rFonts w:ascii="Tahoma" w:hAnsi="Tahoma" w:cs="Tahoma"/>
      <w:sz w:val="20"/>
      <w:szCs w:val="20"/>
    </w:rPr>
  </w:style>
  <w:style w:type="paragraph" w:styleId="Testofumetto">
    <w:name w:val="Balloon Text"/>
    <w:basedOn w:val="Normale"/>
    <w:qFormat/>
    <w:rPr>
      <w:rFonts w:ascii="Tahoma" w:hAnsi="Tahoma" w:cs="Tahoma"/>
      <w:sz w:val="16"/>
      <w:szCs w:val="16"/>
    </w:rPr>
  </w:style>
  <w:style w:type="paragraph" w:styleId="Corpodeltesto2">
    <w:name w:val="Body Text 2"/>
    <w:basedOn w:val="Normale"/>
    <w:qFormat/>
    <w:pPr>
      <w:spacing w:line="480" w:lineRule="auto"/>
    </w:pPr>
    <w:rPr>
      <w:sz w:val="20"/>
      <w:szCs w:val="20"/>
    </w:rPr>
  </w:style>
  <w:style w:type="paragraph" w:styleId="Corpodeltesto3">
    <w:name w:val="Body Text 3"/>
    <w:basedOn w:val="Normale"/>
    <w:qFormat/>
    <w:rPr>
      <w:sz w:val="16"/>
      <w:szCs w:val="16"/>
    </w:rPr>
  </w:style>
  <w:style w:type="paragraph" w:customStyle="1" w:styleId="Default">
    <w:name w:val="Default"/>
    <w:qFormat/>
    <w:pPr>
      <w:widowControl w:val="0"/>
      <w:autoSpaceDE w:val="0"/>
    </w:pPr>
    <w:rPr>
      <w:rFonts w:ascii="Times New Roman" w:eastAsia="Times New Roman" w:hAnsi="Times New Roman" w:cs="Times New Roman"/>
      <w:color w:val="000000"/>
      <w:lang w:val="it-IT" w:bidi="ar-SA"/>
    </w:rPr>
  </w:style>
  <w:style w:type="paragraph" w:styleId="Rientrocorpodeltesto2">
    <w:name w:val="Body Text Indent 2"/>
    <w:basedOn w:val="Normale"/>
    <w:qFormat/>
    <w:pPr>
      <w:spacing w:line="480" w:lineRule="auto"/>
      <w:ind w:left="283"/>
    </w:pPr>
  </w:style>
  <w:style w:type="paragraph" w:styleId="Rientrocorpodeltesto3">
    <w:name w:val="Body Text Indent 3"/>
    <w:basedOn w:val="Normale"/>
    <w:qFormat/>
    <w:pPr>
      <w:ind w:left="283"/>
    </w:pPr>
    <w:rPr>
      <w:sz w:val="16"/>
      <w:szCs w:val="16"/>
    </w:rPr>
  </w:style>
  <w:style w:type="paragraph" w:styleId="Paragrafoelenco">
    <w:name w:val="List Paragraph"/>
    <w:basedOn w:val="Normale"/>
    <w:qFormat/>
    <w:pPr>
      <w:spacing w:after="160" w:line="257" w:lineRule="auto"/>
      <w:ind w:left="720"/>
      <w:contextualSpacing/>
    </w:pPr>
    <w:rPr>
      <w:rFonts w:ascii="Calibri" w:eastAsia="Calibri" w:hAnsi="Calibri" w:cs="Calibri"/>
      <w:sz w:val="22"/>
      <w:szCs w:val="22"/>
    </w:rPr>
  </w:style>
  <w:style w:type="paragraph" w:styleId="Testonotaapidipagina">
    <w:name w:val="footnote text"/>
    <w:basedOn w:val="Normale"/>
    <w:rPr>
      <w:sz w:val="20"/>
      <w:szCs w:val="20"/>
    </w:rPr>
  </w:style>
  <w:style w:type="paragraph" w:customStyle="1" w:styleId="corpodeltesto32">
    <w:name w:val="corpodeltesto32"/>
    <w:basedOn w:val="Normale"/>
    <w:qFormat/>
    <w:pPr>
      <w:spacing w:before="280" w:after="280"/>
    </w:pPr>
  </w:style>
  <w:style w:type="paragraph" w:customStyle="1" w:styleId="Corpodeltesto31">
    <w:name w:val="Corpo del testo 31"/>
    <w:basedOn w:val="Normale"/>
    <w:qFormat/>
    <w:pPr>
      <w:widowControl w:val="0"/>
      <w:spacing w:line="480" w:lineRule="atLeast"/>
      <w:jc w:val="center"/>
    </w:pPr>
  </w:style>
  <w:style w:type="paragraph" w:customStyle="1" w:styleId="Puntoelenco1">
    <w:name w:val="Punto elenco1"/>
    <w:basedOn w:val="Normale"/>
    <w:qFormat/>
    <w:pPr>
      <w:numPr>
        <w:numId w:val="7"/>
      </w:numPr>
    </w:pPr>
  </w:style>
  <w:style w:type="paragraph" w:customStyle="1" w:styleId="txtratto1">
    <w:name w:val="tx_tratto1"/>
    <w:basedOn w:val="Normale"/>
    <w:qFormat/>
    <w:pPr>
      <w:numPr>
        <w:numId w:val="5"/>
      </w:numPr>
      <w:tabs>
        <w:tab w:val="left" w:pos="397"/>
        <w:tab w:val="left" w:pos="944"/>
      </w:tabs>
      <w:ind w:left="924" w:hanging="340"/>
      <w:jc w:val="both"/>
    </w:pPr>
    <w:rPr>
      <w:rFonts w:ascii="Asap;Arial Narrow" w:hAnsi="Asap;Arial Narrow"/>
      <w:sz w:val="22"/>
      <w:szCs w:val="22"/>
    </w:rPr>
  </w:style>
  <w:style w:type="paragraph" w:styleId="Citazioneintensa">
    <w:name w:val="Intense Quote"/>
    <w:basedOn w:val="Normale"/>
    <w:next w:val="Normale"/>
    <w:qFormat/>
    <w:pPr>
      <w:pBdr>
        <w:bottom w:val="single" w:sz="4" w:space="4" w:color="4F81BD"/>
      </w:pBdr>
      <w:spacing w:before="200" w:after="280"/>
      <w:ind w:left="936" w:right="936"/>
    </w:pPr>
    <w:rPr>
      <w:b/>
      <w:bCs/>
      <w:i/>
      <w:iCs/>
      <w:color w:val="4F81BD"/>
      <w:lang w:val="en-US"/>
    </w:rPr>
  </w:style>
  <w:style w:type="paragraph" w:styleId="Nessunaspaziatura">
    <w:name w:val="No Spacing"/>
    <w:qFormat/>
    <w:rPr>
      <w:rFonts w:ascii="Times New Roman" w:eastAsia="Times New Roman" w:hAnsi="Times New Roman" w:cs="Times New Roman"/>
      <w:lang w:val="it-IT" w:bidi="ar-SA"/>
    </w:rPr>
  </w:style>
  <w:style w:type="paragraph" w:customStyle="1" w:styleId="Testo">
    <w:name w:val="Testo"/>
    <w:basedOn w:val="Normale"/>
    <w:qFormat/>
    <w:pPr>
      <w:tabs>
        <w:tab w:val="center" w:pos="2552"/>
      </w:tabs>
    </w:pPr>
    <w:rPr>
      <w:szCs w:val="20"/>
    </w:rPr>
  </w:style>
  <w:style w:type="paragraph" w:customStyle="1" w:styleId="TableContents">
    <w:name w:val="Table Contents"/>
    <w:basedOn w:val="Normale"/>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e"/>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120" w:line="264" w:lineRule="auto"/>
    </w:pPr>
    <w:rPr>
      <w:rFonts w:ascii="Arial" w:eastAsia="Times New Roman" w:hAnsi="Arial" w:cs="Times New Roman"/>
      <w:sz w:val="21"/>
      <w:lang w:val="it-IT" w:bidi="ar-SA"/>
    </w:rPr>
  </w:style>
  <w:style w:type="paragraph" w:styleId="Titolo1">
    <w:name w:val="heading 1"/>
    <w:basedOn w:val="Normale"/>
    <w:next w:val="Normale"/>
    <w:uiPriority w:val="9"/>
    <w:qFormat/>
    <w:pPr>
      <w:keepNext/>
      <w:numPr>
        <w:numId w:val="1"/>
      </w:numPr>
      <w:spacing w:before="240" w:after="60"/>
      <w:outlineLvl w:val="0"/>
    </w:pPr>
    <w:rPr>
      <w:rFonts w:cs="Arial"/>
      <w:b/>
      <w:bCs/>
      <w:kern w:val="2"/>
      <w:sz w:val="32"/>
      <w:szCs w:val="32"/>
    </w:rPr>
  </w:style>
  <w:style w:type="paragraph" w:styleId="Titolo2">
    <w:name w:val="heading 2"/>
    <w:basedOn w:val="Normale"/>
    <w:next w:val="Normale"/>
    <w:uiPriority w:val="9"/>
    <w:semiHidden/>
    <w:unhideWhenUsed/>
    <w:qFormat/>
    <w:pPr>
      <w:keepNext/>
      <w:numPr>
        <w:ilvl w:val="1"/>
        <w:numId w:val="1"/>
      </w:numPr>
      <w:spacing w:before="240" w:after="60"/>
      <w:outlineLvl w:val="1"/>
    </w:pPr>
    <w:rPr>
      <w:rFonts w:cs="Arial"/>
      <w:b/>
      <w:bCs/>
      <w:i/>
      <w:iCs/>
      <w:sz w:val="28"/>
      <w:szCs w:val="28"/>
    </w:rPr>
  </w:style>
  <w:style w:type="paragraph" w:styleId="Titolo3">
    <w:name w:val="heading 3"/>
    <w:basedOn w:val="Normale"/>
    <w:next w:val="Normale"/>
    <w:uiPriority w:val="9"/>
    <w:semiHidden/>
    <w:unhideWhenUsed/>
    <w:qFormat/>
    <w:pPr>
      <w:keepNext/>
      <w:numPr>
        <w:ilvl w:val="2"/>
        <w:numId w:val="1"/>
      </w:numPr>
      <w:spacing w:before="240" w:after="60"/>
      <w:outlineLvl w:val="2"/>
    </w:pPr>
    <w:rPr>
      <w:rFonts w:cs="Arial"/>
      <w:b/>
      <w:bCs/>
      <w:sz w:val="26"/>
      <w:szCs w:val="26"/>
    </w:rPr>
  </w:style>
  <w:style w:type="paragraph" w:styleId="Titolo4">
    <w:name w:val="heading 4"/>
    <w:basedOn w:val="Normale"/>
    <w:next w:val="Normale"/>
    <w:uiPriority w:val="9"/>
    <w:semiHidden/>
    <w:unhideWhenUsed/>
    <w:qFormat/>
    <w:pPr>
      <w:keepNext/>
      <w:numPr>
        <w:ilvl w:val="3"/>
        <w:numId w:val="1"/>
      </w:numPr>
      <w:spacing w:before="240" w:after="60"/>
      <w:outlineLvl w:val="3"/>
    </w:pPr>
    <w:rPr>
      <w:b/>
      <w:bCs/>
      <w:sz w:val="28"/>
      <w:szCs w:val="28"/>
    </w:rPr>
  </w:style>
  <w:style w:type="paragraph" w:styleId="Titolo5">
    <w:name w:val="heading 5"/>
    <w:basedOn w:val="Normale"/>
    <w:next w:val="Normale"/>
    <w:uiPriority w:val="9"/>
    <w:semiHidden/>
    <w:unhideWhenUsed/>
    <w:qFormat/>
    <w:pPr>
      <w:numPr>
        <w:ilvl w:val="4"/>
        <w:numId w:val="1"/>
      </w:numPr>
      <w:spacing w:before="240" w:after="60"/>
      <w:outlineLvl w:val="4"/>
    </w:pPr>
    <w:rPr>
      <w:rFonts w:ascii="Calibri" w:hAnsi="Calibri"/>
      <w:b/>
      <w:bCs/>
      <w:i/>
      <w:iCs/>
      <w:sz w:val="26"/>
      <w:szCs w:val="26"/>
    </w:rPr>
  </w:style>
  <w:style w:type="paragraph" w:styleId="Titolo6">
    <w:name w:val="heading 6"/>
    <w:basedOn w:val="Normale"/>
    <w:next w:val="Normale"/>
    <w:uiPriority w:val="9"/>
    <w:semiHidden/>
    <w:unhideWhenUsed/>
    <w:qFormat/>
    <w:pPr>
      <w:numPr>
        <w:ilvl w:val="5"/>
        <w:numId w:val="1"/>
      </w:numPr>
      <w:spacing w:before="240" w:after="60"/>
      <w:outlineLvl w:val="5"/>
    </w:pPr>
    <w:rPr>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rPr>
      <w:rFonts w:ascii="OpenSymbol;MS Gothic" w:hAnsi="OpenSymbol;MS Gothic" w:cs="OpenSymbol;MS Gothic"/>
      <w:b/>
      <w:i w:val="0"/>
      <w:color w:val="000080"/>
      <w:sz w:val="20"/>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rPr>
      <w:rFonts w:ascii="Wingdings" w:hAnsi="Wingdings" w:cs="Wingdings"/>
      <w:b/>
      <w:color w:val="000000"/>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Garamond" w:hAnsi="Garamond" w:cs="Garamond"/>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Wingdings" w:hAnsi="Wingdings" w:cs="Wingdings"/>
      <w:b/>
      <w:color w:val="000000"/>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Wingdings" w:hAnsi="Wingdings" w:cs="Wingdings"/>
    </w:rPr>
  </w:style>
  <w:style w:type="character" w:customStyle="1" w:styleId="WW8Num13z1">
    <w:name w:val="WW8Num13z1"/>
    <w:qFormat/>
    <w:rPr>
      <w:rFonts w:ascii="Courier New" w:hAnsi="Courier New" w:cs="Courier New"/>
    </w:rPr>
  </w:style>
  <w:style w:type="character" w:customStyle="1" w:styleId="WW8Num13z3">
    <w:name w:val="WW8Num13z3"/>
    <w:qFormat/>
    <w:rPr>
      <w:rFonts w:ascii="Symbol" w:hAnsi="Symbol" w:cs="Symbol"/>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rPr>
      <w:rFonts w:ascii="Roboto" w:hAnsi="Roboto" w:cs="Roboto"/>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rFonts w:ascii="Wingdings" w:hAnsi="Wingdings" w:cs="Wingdings"/>
      <w:b/>
      <w:color w:val="000000"/>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8z3">
    <w:name w:val="WW8Num28z3"/>
    <w:qFormat/>
    <w:rPr>
      <w:rFonts w:ascii="Symbol" w:hAnsi="Symbol" w:cs="Symbol"/>
    </w:rPr>
  </w:style>
  <w:style w:type="character" w:customStyle="1" w:styleId="WW8Num29z0">
    <w:name w:val="WW8Num29z0"/>
    <w:qFormat/>
    <w:rPr>
      <w:rFonts w:ascii="Wingdings" w:hAnsi="Wingdings" w:cs="Wingdings"/>
      <w:b/>
      <w:color w:val="000000"/>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1z0">
    <w:name w:val="WW8Num31z0"/>
    <w:qFormat/>
    <w:rPr>
      <w:rFonts w:ascii="Wingdings" w:hAnsi="Wingdings" w:cs="Wingdings"/>
    </w:rPr>
  </w:style>
  <w:style w:type="character" w:customStyle="1" w:styleId="WW8Num31z1">
    <w:name w:val="WW8Num31z1"/>
    <w:qFormat/>
    <w:rPr>
      <w:rFonts w:ascii="Courier New" w:hAnsi="Courier New" w:cs="Courier New"/>
    </w:rPr>
  </w:style>
  <w:style w:type="character" w:customStyle="1" w:styleId="WW8Num31z3">
    <w:name w:val="WW8Num31z3"/>
    <w:qFormat/>
    <w:rPr>
      <w:rFonts w:ascii="Symbol" w:hAnsi="Symbol" w:cs="Symbol"/>
    </w:rPr>
  </w:style>
  <w:style w:type="character" w:customStyle="1" w:styleId="WW8Num32z0">
    <w:name w:val="WW8Num32z0"/>
    <w:qFormat/>
    <w:rPr>
      <w:rFonts w:ascii="Symbol" w:hAnsi="Symbol" w:cs="Symbol"/>
      <w:sz w:val="20"/>
    </w:rPr>
  </w:style>
  <w:style w:type="character" w:customStyle="1" w:styleId="WW8Num32z1">
    <w:name w:val="WW8Num32z1"/>
    <w:qFormat/>
    <w:rPr>
      <w:rFonts w:ascii="Courier New" w:hAnsi="Courier New" w:cs="Courier New"/>
      <w:sz w:val="20"/>
    </w:rPr>
  </w:style>
  <w:style w:type="character" w:customStyle="1" w:styleId="WW8Num32z2">
    <w:name w:val="WW8Num32z2"/>
    <w:qFormat/>
    <w:rPr>
      <w:rFonts w:ascii="Wingdings" w:hAnsi="Wingdings" w:cs="Wingdings"/>
      <w:sz w:val="20"/>
    </w:rPr>
  </w:style>
  <w:style w:type="character" w:customStyle="1" w:styleId="WW8Num33z0">
    <w:name w:val="WW8Num33z0"/>
    <w:qFormat/>
    <w:rPr>
      <w:rFonts w:ascii="OpenSymbol;MS Gothic" w:hAnsi="OpenSymbol;MS Gothic" w:cs="OpenSymbol;MS Gothic"/>
      <w:b/>
      <w:i w:val="0"/>
      <w:color w:val="000080"/>
    </w:rPr>
  </w:style>
  <w:style w:type="character" w:customStyle="1" w:styleId="WW8Num33z1">
    <w:name w:val="WW8Num33z1"/>
    <w:qFormat/>
    <w:rPr>
      <w:rFonts w:ascii="Times New Roman" w:hAnsi="Times New Roman" w:cs="Times New Roman"/>
      <w:b/>
      <w:i w:val="0"/>
      <w:color w:val="000080"/>
    </w:rPr>
  </w:style>
  <w:style w:type="character" w:customStyle="1" w:styleId="WW8Num33z2">
    <w:name w:val="WW8Num33z2"/>
    <w:qFormat/>
    <w:rPr>
      <w:rFonts w:ascii="Wingdings" w:hAnsi="Wingdings" w:cs="Wingdings"/>
    </w:rPr>
  </w:style>
  <w:style w:type="character" w:customStyle="1" w:styleId="WW8Num33z3">
    <w:name w:val="WW8Num33z3"/>
    <w:qFormat/>
    <w:rPr>
      <w:rFonts w:ascii="Symbol" w:hAnsi="Symbol" w:cs="Symbol"/>
    </w:rPr>
  </w:style>
  <w:style w:type="character" w:customStyle="1" w:styleId="WW8Num33z4">
    <w:name w:val="WW8Num33z4"/>
    <w:qFormat/>
    <w:rPr>
      <w:rFonts w:ascii="Courier New" w:hAnsi="Courier New" w:cs="Courier New"/>
    </w:rPr>
  </w:style>
  <w:style w:type="character" w:customStyle="1" w:styleId="WW8Num34z0">
    <w:name w:val="WW8Num34z0"/>
    <w:qFormat/>
    <w:rPr>
      <w:rFonts w:ascii="Wingdings" w:hAnsi="Wingdings" w:cs="Wingdings"/>
    </w:rPr>
  </w:style>
  <w:style w:type="character" w:customStyle="1" w:styleId="WW8Num34z1">
    <w:name w:val="WW8Num34z1"/>
    <w:qFormat/>
    <w:rPr>
      <w:rFonts w:ascii="Courier New" w:hAnsi="Courier New" w:cs="Courier New"/>
    </w:rPr>
  </w:style>
  <w:style w:type="character" w:customStyle="1" w:styleId="WW8Num34z3">
    <w:name w:val="WW8Num34z3"/>
    <w:qFormat/>
    <w:rPr>
      <w:rFonts w:ascii="Symbol" w:hAnsi="Symbol" w:cs="Symbol"/>
    </w:rPr>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6z0">
    <w:name w:val="WW8Num36z0"/>
    <w:qFormat/>
    <w:rPr>
      <w:rFonts w:ascii="Symbol" w:hAnsi="Symbol" w:cs="Symbol"/>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cs="Wingdings"/>
    </w:rPr>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styleId="Collegamentoipertestuale">
    <w:name w:val="Hyperlink"/>
    <w:rPr>
      <w:rFonts w:cs="Times New Roman"/>
      <w:color w:val="0000FF"/>
      <w:u w:val="single"/>
    </w:rPr>
  </w:style>
  <w:style w:type="character" w:styleId="Numeropagina">
    <w:name w:val="page number"/>
    <w:rPr>
      <w:rFonts w:ascii="Helvetica" w:hAnsi="Helvetica" w:cs="Times New Roman"/>
      <w:color w:val="C0C0C0"/>
      <w:sz w:val="18"/>
    </w:rPr>
  </w:style>
  <w:style w:type="character" w:customStyle="1" w:styleId="CorpotestoCarattere">
    <w:name w:val="Corpo testo Carattere"/>
    <w:qFormat/>
    <w:rPr>
      <w:rFonts w:ascii="Helvetica" w:hAnsi="Helvetica" w:cs="Helvetica"/>
      <w:szCs w:val="24"/>
      <w:lang w:val="it-IT" w:bidi="ar-SA"/>
    </w:rPr>
  </w:style>
  <w:style w:type="character" w:customStyle="1" w:styleId="elencopuntato1Carattere">
    <w:name w:val="elenco puntato1 Carattere"/>
    <w:qFormat/>
    <w:rPr>
      <w:rFonts w:ascii="Helvetica" w:hAnsi="Helvetica" w:cs="Helvetica"/>
      <w:szCs w:val="24"/>
    </w:rPr>
  </w:style>
  <w:style w:type="character" w:customStyle="1" w:styleId="elencopuntato2Carattere">
    <w:name w:val="elenco puntato2 Carattere"/>
    <w:qFormat/>
    <w:rPr>
      <w:rFonts w:ascii="Helvetica" w:hAnsi="Helvetica" w:cs="Helvetica"/>
      <w:szCs w:val="24"/>
    </w:rPr>
  </w:style>
  <w:style w:type="character" w:customStyle="1" w:styleId="apple-converted-space">
    <w:name w:val="apple-converted-space"/>
    <w:basedOn w:val="Carpredefinitoparagrafo"/>
    <w:qFormat/>
  </w:style>
  <w:style w:type="character" w:styleId="Enfasicorsivo">
    <w:name w:val="Emphasis"/>
    <w:qFormat/>
    <w:rPr>
      <w:i/>
      <w:iCs/>
    </w:rPr>
  </w:style>
  <w:style w:type="character" w:styleId="Enfasigrassetto">
    <w:name w:val="Strong"/>
    <w:qFormat/>
    <w:rPr>
      <w:b/>
      <w:bCs/>
    </w:rPr>
  </w:style>
  <w:style w:type="character" w:customStyle="1" w:styleId="IntestazioneCarattere">
    <w:name w:val="Intestazione Carattere"/>
    <w:qFormat/>
    <w:rPr>
      <w:rFonts w:eastAsia="MS Mincho"/>
      <w:sz w:val="24"/>
      <w:szCs w:val="24"/>
      <w:lang w:val="it-IT" w:eastAsia="ja-JP" w:bidi="ar-SA"/>
    </w:rPr>
  </w:style>
  <w:style w:type="character" w:customStyle="1" w:styleId="EndnoteCharacters">
    <w:name w:val="Endnote Characters"/>
    <w:qFormat/>
    <w:rPr>
      <w:rFonts w:cs="Times New Roman"/>
      <w:vertAlign w:val="superscript"/>
    </w:rPr>
  </w:style>
  <w:style w:type="character" w:customStyle="1" w:styleId="Corpodeltesto2Carattere">
    <w:name w:val="Corpo del testo 2 Carattere"/>
    <w:qFormat/>
    <w:rPr>
      <w:lang w:val="it-IT" w:bidi="ar-SA"/>
    </w:rPr>
  </w:style>
  <w:style w:type="character" w:customStyle="1" w:styleId="Corpodeltesto3Carattere">
    <w:name w:val="Corpo del testo 3 Carattere"/>
    <w:qFormat/>
    <w:rPr>
      <w:sz w:val="16"/>
      <w:szCs w:val="16"/>
    </w:rPr>
  </w:style>
  <w:style w:type="character" w:styleId="AcronimoHTML">
    <w:name w:val="HTML Acronym"/>
    <w:qFormat/>
    <w:rPr>
      <w:rFonts w:cs="Times New Roman"/>
    </w:rPr>
  </w:style>
  <w:style w:type="character" w:customStyle="1" w:styleId="Titolo5Carattere">
    <w:name w:val="Titolo 5 Carattere"/>
    <w:qFormat/>
    <w:rPr>
      <w:rFonts w:ascii="Calibri" w:eastAsia="Times New Roman" w:hAnsi="Calibri" w:cs="Times New Roman"/>
      <w:b/>
      <w:bCs/>
      <w:i/>
      <w:iCs/>
      <w:sz w:val="26"/>
      <w:szCs w:val="26"/>
    </w:rPr>
  </w:style>
  <w:style w:type="character" w:customStyle="1" w:styleId="TestonotaapidipaginaCarattere">
    <w:name w:val="Testo nota a piè di pagina Carattere"/>
    <w:basedOn w:val="Carpredefinitoparagrafo"/>
    <w:qFormat/>
  </w:style>
  <w:style w:type="character" w:customStyle="1" w:styleId="FootnoteCharacters">
    <w:name w:val="Footnote Characters"/>
    <w:qFormat/>
    <w:rPr>
      <w:vertAlign w:val="superscript"/>
    </w:rPr>
  </w:style>
  <w:style w:type="character" w:customStyle="1" w:styleId="TestonotaapidipaginaCarattere1">
    <w:name w:val="Testo nota a piè di pagina Carattere1"/>
    <w:qFormat/>
  </w:style>
  <w:style w:type="character" w:customStyle="1" w:styleId="Rientrocorpodeltesto3Carattere">
    <w:name w:val="Rientro corpo del testo 3 Carattere"/>
    <w:qFormat/>
    <w:rPr>
      <w:sz w:val="16"/>
      <w:szCs w:val="16"/>
    </w:rPr>
  </w:style>
  <w:style w:type="character" w:customStyle="1" w:styleId="Titolo6Carattere">
    <w:name w:val="Titolo 6 Carattere"/>
    <w:qFormat/>
    <w:rPr>
      <w:b/>
      <w:bCs/>
      <w:sz w:val="22"/>
      <w:szCs w:val="22"/>
    </w:rPr>
  </w:style>
  <w:style w:type="character" w:customStyle="1" w:styleId="testo-note-sep">
    <w:name w:val="testo-note-sep"/>
    <w:qFormat/>
  </w:style>
  <w:style w:type="character" w:customStyle="1" w:styleId="linkarticolo">
    <w:name w:val="linkarticolo"/>
    <w:qFormat/>
  </w:style>
  <w:style w:type="character" w:customStyle="1" w:styleId="CitazioneintensaCarattere">
    <w:name w:val="Citazione intensa Carattere"/>
    <w:qFormat/>
    <w:rPr>
      <w:b/>
      <w:bCs/>
      <w:i/>
      <w:iCs/>
      <w:color w:val="4F81BD"/>
      <w:sz w:val="24"/>
      <w:szCs w:val="24"/>
      <w:lang w:val="en-US"/>
    </w:rPr>
  </w:style>
  <w:style w:type="character" w:customStyle="1" w:styleId="UnresolvedMention">
    <w:name w:val="Unresolved Mention"/>
    <w:qFormat/>
    <w:rPr>
      <w:color w:val="605E5C"/>
      <w:shd w:val="clear" w:color="auto" w:fill="E1DFDD"/>
    </w:rPr>
  </w:style>
  <w:style w:type="paragraph" w:customStyle="1" w:styleId="Heading">
    <w:name w:val="Heading"/>
    <w:basedOn w:val="Normale"/>
    <w:next w:val="Corpotesto"/>
    <w:qFormat/>
    <w:pPr>
      <w:overflowPunct w:val="0"/>
      <w:autoSpaceDE w:val="0"/>
      <w:spacing w:line="360" w:lineRule="atLeast"/>
      <w:jc w:val="center"/>
      <w:textAlignment w:val="baseline"/>
    </w:pPr>
    <w:rPr>
      <w:rFonts w:cs="Arial"/>
      <w:b/>
      <w:sz w:val="23"/>
      <w:szCs w:val="20"/>
    </w:rPr>
  </w:style>
  <w:style w:type="paragraph" w:styleId="Corpotesto">
    <w:name w:val="Body Text"/>
    <w:basedOn w:val="Normale"/>
    <w:pPr>
      <w:spacing w:line="360" w:lineRule="auto"/>
      <w:jc w:val="both"/>
    </w:pPr>
    <w:rPr>
      <w:rFonts w:ascii="Helvetica" w:hAnsi="Helvetica" w:cs="Helvetica"/>
      <w:sz w:val="20"/>
    </w:rPr>
  </w:style>
  <w:style w:type="paragraph" w:styleId="Elenco">
    <w:name w:val="List"/>
    <w:basedOn w:val="Corpotesto"/>
  </w:style>
  <w:style w:type="paragraph" w:styleId="Didascalia">
    <w:name w:val="caption"/>
    <w:basedOn w:val="Normale"/>
    <w:qFormat/>
    <w:pPr>
      <w:suppressLineNumbers/>
      <w:spacing w:before="120"/>
    </w:pPr>
    <w:rPr>
      <w:i/>
      <w:iCs/>
      <w:sz w:val="24"/>
    </w:rPr>
  </w:style>
  <w:style w:type="paragraph" w:customStyle="1" w:styleId="Index">
    <w:name w:val="Index"/>
    <w:basedOn w:val="Normale"/>
    <w:qFormat/>
    <w:pPr>
      <w:suppressLineNumbers/>
    </w:pPr>
  </w:style>
  <w:style w:type="paragraph" w:customStyle="1" w:styleId="chiusura">
    <w:name w:val="chiusura"/>
    <w:basedOn w:val="Titolo4"/>
    <w:qFormat/>
    <w:pPr>
      <w:numPr>
        <w:ilvl w:val="0"/>
        <w:numId w:val="0"/>
      </w:numPr>
      <w:spacing w:before="0" w:after="0"/>
      <w:outlineLvl w:val="9"/>
    </w:pPr>
    <w:rPr>
      <w:rFonts w:ascii="Helvetica" w:hAnsi="Helvetica" w:cs="Helvetica"/>
      <w:i/>
      <w:iCs/>
      <w:sz w:val="16"/>
      <w:szCs w:val="24"/>
    </w:rPr>
  </w:style>
  <w:style w:type="paragraph" w:customStyle="1" w:styleId="datapubblicazione">
    <w:name w:val="data pubblicazione"/>
    <w:basedOn w:val="Normale"/>
    <w:qFormat/>
    <w:pPr>
      <w:ind w:left="4111"/>
    </w:pPr>
    <w:rPr>
      <w:rFonts w:ascii="Helvetica" w:hAnsi="Helvetica" w:cs="Helvetica"/>
      <w:color w:val="000000"/>
      <w:w w:val="95"/>
    </w:rPr>
  </w:style>
  <w:style w:type="paragraph" w:customStyle="1" w:styleId="Dirittiriservati">
    <w:name w:val="Diritti riservati"/>
    <w:basedOn w:val="Normale"/>
    <w:qFormat/>
    <w:pPr>
      <w:jc w:val="both"/>
    </w:pPr>
    <w:rPr>
      <w:rFonts w:ascii="Helvetica" w:hAnsi="Helvetica" w:cs="Helvetica"/>
      <w:color w:val="808080"/>
      <w:sz w:val="16"/>
    </w:rPr>
  </w:style>
  <w:style w:type="paragraph" w:customStyle="1" w:styleId="disclaimer">
    <w:name w:val="disclaimer"/>
    <w:basedOn w:val="Corpotesto"/>
    <w:qFormat/>
    <w:pPr>
      <w:spacing w:after="0" w:line="240" w:lineRule="auto"/>
    </w:pPr>
    <w:rPr>
      <w:sz w:val="16"/>
    </w:rPr>
  </w:style>
  <w:style w:type="paragraph" w:customStyle="1" w:styleId="elencopuntato1">
    <w:name w:val="elenco puntato1"/>
    <w:basedOn w:val="Corpotesto"/>
    <w:qFormat/>
    <w:pPr>
      <w:numPr>
        <w:numId w:val="9"/>
      </w:numPr>
    </w:pPr>
  </w:style>
  <w:style w:type="paragraph" w:customStyle="1" w:styleId="elencopuntato2">
    <w:name w:val="elenco puntato2"/>
    <w:basedOn w:val="Corpotesto"/>
    <w:qFormat/>
    <w:pPr>
      <w:numPr>
        <w:numId w:val="2"/>
      </w:numPr>
    </w:pPr>
  </w:style>
  <w:style w:type="paragraph" w:styleId="Indice1">
    <w:name w:val="index 1"/>
    <w:basedOn w:val="Normale"/>
    <w:next w:val="Normale"/>
    <w:pPr>
      <w:spacing w:line="312" w:lineRule="auto"/>
      <w:ind w:left="4111"/>
    </w:pPr>
    <w:rPr>
      <w:rFonts w:ascii="Helvetica" w:hAnsi="Helvetica" w:cs="Helvetica"/>
      <w:color w:val="808080"/>
      <w:sz w:val="28"/>
      <w:lang w:val="en-US" w:eastAsia="en-US"/>
    </w:rPr>
  </w:style>
  <w:style w:type="paragraph" w:customStyle="1" w:styleId="indirizzowww">
    <w:name w:val="indirizzo www"/>
    <w:basedOn w:val="datapubblicazione"/>
    <w:qFormat/>
    <w:rPr>
      <w:color w:val="C0C0C0"/>
    </w:rPr>
  </w:style>
  <w:style w:type="paragraph" w:customStyle="1" w:styleId="HeaderandFooter">
    <w:name w:val="Header and Footer"/>
    <w:basedOn w:val="Normale"/>
    <w:qFormat/>
    <w:pPr>
      <w:suppressLineNumbers/>
      <w:tabs>
        <w:tab w:val="center" w:pos="4819"/>
        <w:tab w:val="right" w:pos="9638"/>
      </w:tabs>
    </w:pPr>
  </w:style>
  <w:style w:type="paragraph" w:styleId="Intestazione">
    <w:name w:val="header"/>
    <w:basedOn w:val="Normale"/>
    <w:pPr>
      <w:tabs>
        <w:tab w:val="center" w:pos="4819"/>
        <w:tab w:val="right" w:pos="9638"/>
      </w:tabs>
    </w:pPr>
  </w:style>
  <w:style w:type="paragraph" w:customStyle="1" w:styleId="redattore">
    <w:name w:val="redattore"/>
    <w:basedOn w:val="Normale"/>
    <w:qFormat/>
    <w:pPr>
      <w:jc w:val="center"/>
    </w:pPr>
    <w:rPr>
      <w:rFonts w:ascii="Helvetica" w:hAnsi="Helvetica" w:cs="Helvetica"/>
      <w:i/>
      <w:sz w:val="20"/>
    </w:rPr>
  </w:style>
  <w:style w:type="paragraph" w:customStyle="1" w:styleId="marginiredattore">
    <w:name w:val="marginiredattore"/>
    <w:basedOn w:val="redattore"/>
    <w:qFormat/>
    <w:rPr>
      <w:color w:val="333399"/>
      <w:sz w:val="24"/>
    </w:rPr>
  </w:style>
  <w:style w:type="paragraph" w:styleId="Pidipagina">
    <w:name w:val="footer"/>
    <w:basedOn w:val="Normale"/>
    <w:pPr>
      <w:tabs>
        <w:tab w:val="center" w:pos="4819"/>
        <w:tab w:val="right" w:pos="9638"/>
      </w:tabs>
      <w:ind w:left="4139"/>
    </w:pPr>
    <w:rPr>
      <w:rFonts w:ascii="Helvetica" w:hAnsi="Helvetica" w:cs="Helvetica"/>
      <w:color w:val="C0C0C0"/>
      <w:sz w:val="16"/>
    </w:rPr>
  </w:style>
  <w:style w:type="paragraph" w:customStyle="1" w:styleId="Pidipaginasezionecontenuti">
    <w:name w:val="Piè di pagina sezione contenuti"/>
    <w:basedOn w:val="Pidipagina"/>
    <w:qFormat/>
    <w:pPr>
      <w:ind w:left="2268"/>
    </w:pPr>
  </w:style>
  <w:style w:type="paragraph" w:customStyle="1" w:styleId="redatto">
    <w:name w:val="redatto"/>
    <w:basedOn w:val="Normale"/>
    <w:qFormat/>
    <w:pPr>
      <w:ind w:left="4111"/>
    </w:pPr>
    <w:rPr>
      <w:rFonts w:ascii="Helvetica" w:hAnsi="Helvetica" w:cs="Helvetica"/>
      <w:color w:val="808080"/>
    </w:rPr>
  </w:style>
  <w:style w:type="paragraph" w:customStyle="1" w:styleId="titolodocumento">
    <w:name w:val="titolo documento"/>
    <w:basedOn w:val="Normale"/>
    <w:qFormat/>
    <w:pPr>
      <w:ind w:right="-30"/>
      <w:jc w:val="center"/>
    </w:pPr>
    <w:rPr>
      <w:rFonts w:ascii="Georgia" w:hAnsi="Georgia" w:cs="Georgia"/>
      <w:b/>
      <w:bCs/>
      <w:color w:val="000099"/>
      <w:sz w:val="40"/>
      <w:szCs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Titoloindice">
    <w:name w:val="index heading"/>
    <w:basedOn w:val="Normale"/>
    <w:next w:val="Indice1"/>
  </w:style>
  <w:style w:type="paragraph" w:customStyle="1" w:styleId="titolo10">
    <w:name w:val="titolo1"/>
    <w:basedOn w:val="Titolo1"/>
    <w:qFormat/>
    <w:pPr>
      <w:numPr>
        <w:numId w:val="0"/>
      </w:numPr>
      <w:outlineLvl w:val="9"/>
    </w:pPr>
    <w:rPr>
      <w:rFonts w:ascii="Bookman Old Style" w:hAnsi="Bookman Old Style" w:cs="Times New Roman"/>
      <w:color w:val="000099"/>
      <w:sz w:val="28"/>
      <w:szCs w:val="24"/>
    </w:rPr>
  </w:style>
  <w:style w:type="paragraph" w:customStyle="1" w:styleId="titolo20">
    <w:name w:val="titolo2"/>
    <w:basedOn w:val="Titolo2"/>
    <w:qFormat/>
    <w:pPr>
      <w:numPr>
        <w:ilvl w:val="0"/>
        <w:numId w:val="0"/>
      </w:numPr>
      <w:outlineLvl w:val="9"/>
    </w:pPr>
    <w:rPr>
      <w:rFonts w:ascii="Bookman Old Style" w:hAnsi="Bookman Old Style" w:cs="Times New Roman"/>
      <w:bCs w:val="0"/>
      <w:iCs w:val="0"/>
      <w:color w:val="000099"/>
      <w:sz w:val="22"/>
      <w:szCs w:val="24"/>
    </w:rPr>
  </w:style>
  <w:style w:type="paragraph" w:customStyle="1" w:styleId="titolo30">
    <w:name w:val="titolo3"/>
    <w:basedOn w:val="Titolo3"/>
    <w:qFormat/>
    <w:pPr>
      <w:numPr>
        <w:ilvl w:val="0"/>
        <w:numId w:val="0"/>
      </w:numPr>
      <w:outlineLvl w:val="9"/>
    </w:pPr>
    <w:rPr>
      <w:rFonts w:ascii="Bookman Old Style" w:hAnsi="Bookman Old Style" w:cs="Times New Roman"/>
      <w:b w:val="0"/>
      <w:bCs w:val="0"/>
      <w:i/>
      <w:iCs/>
      <w:color w:val="000099"/>
      <w:sz w:val="22"/>
      <w:szCs w:val="24"/>
    </w:rPr>
  </w:style>
  <w:style w:type="paragraph" w:customStyle="1" w:styleId="abstract">
    <w:name w:val="abstract"/>
    <w:basedOn w:val="Normale"/>
    <w:qFormat/>
    <w:pPr>
      <w:ind w:right="-30"/>
      <w:jc w:val="center"/>
    </w:pPr>
    <w:rPr>
      <w:rFonts w:ascii="Helvetica" w:hAnsi="Helvetica" w:cs="Helvetica"/>
      <w:b/>
      <w:bCs/>
      <w:i/>
      <w:iCs/>
      <w:sz w:val="20"/>
      <w:szCs w:val="28"/>
    </w:rPr>
  </w:style>
  <w:style w:type="paragraph" w:customStyle="1" w:styleId="hTestoTabella">
    <w:name w:val="h) Testo Tabella"/>
    <w:basedOn w:val="Normale"/>
    <w:qFormat/>
    <w:pPr>
      <w:widowControl w:val="0"/>
      <w:autoSpaceDE w:val="0"/>
      <w:spacing w:line="258" w:lineRule="atLeast"/>
      <w:jc w:val="both"/>
      <w:textAlignment w:val="center"/>
    </w:pPr>
    <w:rPr>
      <w:rFonts w:ascii="Eurostile" w:hAnsi="Eurostile" w:cs="Eurostile"/>
      <w:color w:val="000000"/>
      <w:sz w:val="20"/>
      <w:szCs w:val="20"/>
    </w:rPr>
  </w:style>
  <w:style w:type="paragraph" w:styleId="Testonormale">
    <w:name w:val="Plain Text"/>
    <w:basedOn w:val="Normale"/>
    <w:qFormat/>
    <w:rPr>
      <w:rFonts w:ascii="Courier New" w:hAnsi="Courier New" w:cs="Courier New"/>
      <w:sz w:val="20"/>
      <w:szCs w:val="20"/>
    </w:rPr>
  </w:style>
  <w:style w:type="paragraph" w:styleId="NormaleWeb">
    <w:name w:val="Normal (Web)"/>
    <w:basedOn w:val="Normale"/>
    <w:qFormat/>
    <w:pPr>
      <w:spacing w:before="280" w:after="280"/>
    </w:pPr>
  </w:style>
  <w:style w:type="paragraph" w:styleId="Data">
    <w:name w:val="Date"/>
    <w:basedOn w:val="Normale"/>
    <w:next w:val="Normale"/>
    <w:qFormat/>
  </w:style>
  <w:style w:type="paragraph" w:styleId="Mappadocumento">
    <w:name w:val="Document Map"/>
    <w:basedOn w:val="Normale"/>
    <w:qFormat/>
    <w:pPr>
      <w:shd w:val="clear" w:color="auto" w:fill="000080"/>
    </w:pPr>
    <w:rPr>
      <w:rFonts w:ascii="Tahoma" w:hAnsi="Tahoma" w:cs="Tahoma"/>
      <w:sz w:val="20"/>
      <w:szCs w:val="20"/>
    </w:rPr>
  </w:style>
  <w:style w:type="paragraph" w:styleId="Testofumetto">
    <w:name w:val="Balloon Text"/>
    <w:basedOn w:val="Normale"/>
    <w:qFormat/>
    <w:rPr>
      <w:rFonts w:ascii="Tahoma" w:hAnsi="Tahoma" w:cs="Tahoma"/>
      <w:sz w:val="16"/>
      <w:szCs w:val="16"/>
    </w:rPr>
  </w:style>
  <w:style w:type="paragraph" w:styleId="Corpodeltesto2">
    <w:name w:val="Body Text 2"/>
    <w:basedOn w:val="Normale"/>
    <w:qFormat/>
    <w:pPr>
      <w:spacing w:line="480" w:lineRule="auto"/>
    </w:pPr>
    <w:rPr>
      <w:sz w:val="20"/>
      <w:szCs w:val="20"/>
    </w:rPr>
  </w:style>
  <w:style w:type="paragraph" w:styleId="Corpodeltesto3">
    <w:name w:val="Body Text 3"/>
    <w:basedOn w:val="Normale"/>
    <w:qFormat/>
    <w:rPr>
      <w:sz w:val="16"/>
      <w:szCs w:val="16"/>
    </w:rPr>
  </w:style>
  <w:style w:type="paragraph" w:customStyle="1" w:styleId="Default">
    <w:name w:val="Default"/>
    <w:qFormat/>
    <w:pPr>
      <w:widowControl w:val="0"/>
      <w:autoSpaceDE w:val="0"/>
    </w:pPr>
    <w:rPr>
      <w:rFonts w:ascii="Times New Roman" w:eastAsia="Times New Roman" w:hAnsi="Times New Roman" w:cs="Times New Roman"/>
      <w:color w:val="000000"/>
      <w:lang w:val="it-IT" w:bidi="ar-SA"/>
    </w:rPr>
  </w:style>
  <w:style w:type="paragraph" w:styleId="Rientrocorpodeltesto2">
    <w:name w:val="Body Text Indent 2"/>
    <w:basedOn w:val="Normale"/>
    <w:qFormat/>
    <w:pPr>
      <w:spacing w:line="480" w:lineRule="auto"/>
      <w:ind w:left="283"/>
    </w:pPr>
  </w:style>
  <w:style w:type="paragraph" w:styleId="Rientrocorpodeltesto3">
    <w:name w:val="Body Text Indent 3"/>
    <w:basedOn w:val="Normale"/>
    <w:qFormat/>
    <w:pPr>
      <w:ind w:left="283"/>
    </w:pPr>
    <w:rPr>
      <w:sz w:val="16"/>
      <w:szCs w:val="16"/>
    </w:rPr>
  </w:style>
  <w:style w:type="paragraph" w:styleId="Paragrafoelenco">
    <w:name w:val="List Paragraph"/>
    <w:basedOn w:val="Normale"/>
    <w:qFormat/>
    <w:pPr>
      <w:spacing w:after="160" w:line="257" w:lineRule="auto"/>
      <w:ind w:left="720"/>
      <w:contextualSpacing/>
    </w:pPr>
    <w:rPr>
      <w:rFonts w:ascii="Calibri" w:eastAsia="Calibri" w:hAnsi="Calibri" w:cs="Calibri"/>
      <w:sz w:val="22"/>
      <w:szCs w:val="22"/>
    </w:rPr>
  </w:style>
  <w:style w:type="paragraph" w:styleId="Testonotaapidipagina">
    <w:name w:val="footnote text"/>
    <w:basedOn w:val="Normale"/>
    <w:rPr>
      <w:sz w:val="20"/>
      <w:szCs w:val="20"/>
    </w:rPr>
  </w:style>
  <w:style w:type="paragraph" w:customStyle="1" w:styleId="corpodeltesto32">
    <w:name w:val="corpodeltesto32"/>
    <w:basedOn w:val="Normale"/>
    <w:qFormat/>
    <w:pPr>
      <w:spacing w:before="280" w:after="280"/>
    </w:pPr>
  </w:style>
  <w:style w:type="paragraph" w:customStyle="1" w:styleId="Corpodeltesto31">
    <w:name w:val="Corpo del testo 31"/>
    <w:basedOn w:val="Normale"/>
    <w:qFormat/>
    <w:pPr>
      <w:widowControl w:val="0"/>
      <w:spacing w:line="480" w:lineRule="atLeast"/>
      <w:jc w:val="center"/>
    </w:pPr>
  </w:style>
  <w:style w:type="paragraph" w:customStyle="1" w:styleId="Puntoelenco1">
    <w:name w:val="Punto elenco1"/>
    <w:basedOn w:val="Normale"/>
    <w:qFormat/>
    <w:pPr>
      <w:numPr>
        <w:numId w:val="7"/>
      </w:numPr>
    </w:pPr>
  </w:style>
  <w:style w:type="paragraph" w:customStyle="1" w:styleId="txtratto1">
    <w:name w:val="tx_tratto1"/>
    <w:basedOn w:val="Normale"/>
    <w:qFormat/>
    <w:pPr>
      <w:numPr>
        <w:numId w:val="5"/>
      </w:numPr>
      <w:tabs>
        <w:tab w:val="left" w:pos="397"/>
        <w:tab w:val="left" w:pos="944"/>
      </w:tabs>
      <w:ind w:left="924" w:hanging="340"/>
      <w:jc w:val="both"/>
    </w:pPr>
    <w:rPr>
      <w:rFonts w:ascii="Asap;Arial Narrow" w:hAnsi="Asap;Arial Narrow"/>
      <w:sz w:val="22"/>
      <w:szCs w:val="22"/>
    </w:rPr>
  </w:style>
  <w:style w:type="paragraph" w:styleId="Citazioneintensa">
    <w:name w:val="Intense Quote"/>
    <w:basedOn w:val="Normale"/>
    <w:next w:val="Normale"/>
    <w:qFormat/>
    <w:pPr>
      <w:pBdr>
        <w:bottom w:val="single" w:sz="4" w:space="4" w:color="4F81BD"/>
      </w:pBdr>
      <w:spacing w:before="200" w:after="280"/>
      <w:ind w:left="936" w:right="936"/>
    </w:pPr>
    <w:rPr>
      <w:b/>
      <w:bCs/>
      <w:i/>
      <w:iCs/>
      <w:color w:val="4F81BD"/>
      <w:lang w:val="en-US"/>
    </w:rPr>
  </w:style>
  <w:style w:type="paragraph" w:styleId="Nessunaspaziatura">
    <w:name w:val="No Spacing"/>
    <w:qFormat/>
    <w:rPr>
      <w:rFonts w:ascii="Times New Roman" w:eastAsia="Times New Roman" w:hAnsi="Times New Roman" w:cs="Times New Roman"/>
      <w:lang w:val="it-IT" w:bidi="ar-SA"/>
    </w:rPr>
  </w:style>
  <w:style w:type="paragraph" w:customStyle="1" w:styleId="Testo">
    <w:name w:val="Testo"/>
    <w:basedOn w:val="Normale"/>
    <w:qFormat/>
    <w:pPr>
      <w:tabs>
        <w:tab w:val="center" w:pos="2552"/>
      </w:tabs>
    </w:pPr>
    <w:rPr>
      <w:szCs w:val="20"/>
    </w:rPr>
  </w:style>
  <w:style w:type="paragraph" w:customStyle="1" w:styleId="TableContents">
    <w:name w:val="Table Contents"/>
    <w:basedOn w:val="Normale"/>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e"/>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2069</Words>
  <Characters>11794</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Dichiarazione ICI per l’anno 2006</vt:lpstr>
    </vt:vector>
  </TitlesOfParts>
  <Company/>
  <LinksUpToDate>false</LinksUpToDate>
  <CharactersWithSpaces>13836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ICI per l’anno 2006</dc:title>
  <dc:creator>Wanda Tedesco</dc:creator>
  <cp:lastModifiedBy>Adele Cardani</cp:lastModifiedBy>
  <cp:revision>2</cp:revision>
  <cp:lastPrinted>2019-09-19T12:47:00Z</cp:lastPrinted>
  <dcterms:created xsi:type="dcterms:W3CDTF">2026-10-28T11:23:00Z</dcterms:created>
  <dcterms:modified xsi:type="dcterms:W3CDTF">2026-10-28T11:23:00Z</dcterms:modified>
  <dc:language>en-US</dc:language>
</cp:coreProperties>
</file>