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670" w:type="dxa"/>
        <w:tblInd w:w="0" w:type="dxa"/>
        <w:tblBorders>
          <w:top w:val="single" w:sz="4" w:space="0" w:color="000000"/>
          <w:left w:val="nil"/>
          <w:bottom w:val="nil"/>
          <w:right w:val="nil"/>
          <w:insideH w:val="nil"/>
          <w:insideV w:val="nil"/>
        </w:tblBorders>
        <w:tblLayout w:type="fixed"/>
        <w:tblLook w:val="0000" w:firstRow="0" w:lastRow="0" w:firstColumn="0" w:lastColumn="0" w:noHBand="0" w:noVBand="0"/>
      </w:tblPr>
      <w:tblGrid>
        <w:gridCol w:w="9670"/>
      </w:tblGrid>
      <w:tr w:rsidR="0093709F" w14:paraId="3C5270F5" w14:textId="77777777">
        <w:trPr>
          <w:trHeight w:val="567"/>
        </w:trPr>
        <w:tc>
          <w:tcPr>
            <w:tcW w:w="9670" w:type="dxa"/>
            <w:tcBorders>
              <w:top w:val="single" w:sz="4" w:space="0" w:color="366DB3"/>
            </w:tcBorders>
            <w:vAlign w:val="center"/>
          </w:tcPr>
          <w:p w14:paraId="35003EDC" w14:textId="25D234B9" w:rsidR="00C31484" w:rsidRDefault="00DB7C5E" w:rsidP="00C31484">
            <w:pPr>
              <w:pBdr>
                <w:top w:val="nil"/>
                <w:left w:val="nil"/>
                <w:bottom w:val="nil"/>
                <w:right w:val="nil"/>
                <w:between w:val="nil"/>
              </w:pBdr>
              <w:spacing w:before="240" w:line="240" w:lineRule="auto"/>
              <w:ind w:left="1" w:hanging="3"/>
              <w:rPr>
                <w:rFonts w:ascii="Arial" w:eastAsia="Arial" w:hAnsi="Arial" w:cs="Arial"/>
                <w:color w:val="366DB3"/>
                <w:sz w:val="32"/>
                <w:szCs w:val="32"/>
              </w:rPr>
            </w:pPr>
            <w:r>
              <w:rPr>
                <w:rFonts w:ascii="Arial" w:eastAsia="Arial" w:hAnsi="Arial" w:cs="Arial"/>
                <w:color w:val="366DB3"/>
                <w:sz w:val="32"/>
                <w:szCs w:val="32"/>
              </w:rPr>
              <w:t xml:space="preserve">Circolare per il </w:t>
            </w:r>
            <w:r w:rsidR="00B52BCE">
              <w:rPr>
                <w:rFonts w:ascii="Arial" w:eastAsia="Arial" w:hAnsi="Arial" w:cs="Arial"/>
                <w:color w:val="366DB3"/>
                <w:sz w:val="32"/>
                <w:szCs w:val="32"/>
              </w:rPr>
              <w:t>C</w:t>
            </w:r>
            <w:r>
              <w:rPr>
                <w:rFonts w:ascii="Arial" w:eastAsia="Arial" w:hAnsi="Arial" w:cs="Arial"/>
                <w:color w:val="366DB3"/>
                <w:sz w:val="32"/>
                <w:szCs w:val="32"/>
              </w:rPr>
              <w:t xml:space="preserve">liente </w:t>
            </w:r>
            <w:r w:rsidR="005D0234">
              <w:rPr>
                <w:rFonts w:ascii="Arial" w:eastAsia="Arial" w:hAnsi="Arial" w:cs="Arial"/>
                <w:color w:val="366DB3"/>
                <w:sz w:val="32"/>
                <w:szCs w:val="32"/>
              </w:rPr>
              <w:t>6</w:t>
            </w:r>
            <w:r w:rsidR="00B52BCE">
              <w:rPr>
                <w:rFonts w:ascii="Arial" w:eastAsia="Arial" w:hAnsi="Arial" w:cs="Arial"/>
                <w:color w:val="366DB3"/>
                <w:sz w:val="32"/>
                <w:szCs w:val="32"/>
              </w:rPr>
              <w:t xml:space="preserve"> novembre</w:t>
            </w:r>
            <w:r>
              <w:rPr>
                <w:rFonts w:ascii="Arial" w:eastAsia="Arial" w:hAnsi="Arial" w:cs="Arial"/>
                <w:color w:val="366DB3"/>
                <w:sz w:val="32"/>
                <w:szCs w:val="32"/>
              </w:rPr>
              <w:t xml:space="preserve"> 202</w:t>
            </w:r>
            <w:r w:rsidR="00C02D9F">
              <w:rPr>
                <w:rFonts w:ascii="Arial" w:eastAsia="Arial" w:hAnsi="Arial" w:cs="Arial"/>
                <w:color w:val="366DB3"/>
                <w:sz w:val="32"/>
                <w:szCs w:val="32"/>
              </w:rPr>
              <w:t>6</w:t>
            </w:r>
          </w:p>
          <w:p w14:paraId="23103BC3" w14:textId="77777777" w:rsidR="0093709F" w:rsidRDefault="00DB7C5E">
            <w:pPr>
              <w:pBdr>
                <w:top w:val="nil"/>
                <w:left w:val="nil"/>
                <w:bottom w:val="nil"/>
                <w:right w:val="nil"/>
                <w:between w:val="nil"/>
              </w:pBdr>
              <w:spacing w:before="120" w:line="240" w:lineRule="auto"/>
              <w:ind w:left="0" w:hanging="2"/>
              <w:rPr>
                <w:rFonts w:ascii="Arial" w:eastAsia="Arial" w:hAnsi="Arial" w:cs="Arial"/>
                <w:color w:val="366DB3"/>
                <w:sz w:val="20"/>
                <w:szCs w:val="20"/>
              </w:rPr>
            </w:pPr>
            <w:r>
              <w:rPr>
                <w:rFonts w:ascii="Arial" w:eastAsia="Arial" w:hAnsi="Arial" w:cs="Arial"/>
                <w:color w:val="366DB3"/>
                <w:sz w:val="20"/>
                <w:szCs w:val="20"/>
              </w:rPr>
              <w:t>Versione Completa</w:t>
            </w:r>
          </w:p>
          <w:p w14:paraId="40D16668" w14:textId="77777777" w:rsidR="0093709F" w:rsidRDefault="0093709F">
            <w:pPr>
              <w:pBdr>
                <w:top w:val="nil"/>
                <w:left w:val="nil"/>
                <w:bottom w:val="nil"/>
                <w:right w:val="nil"/>
                <w:between w:val="nil"/>
              </w:pBdr>
              <w:spacing w:before="240" w:line="240" w:lineRule="auto"/>
              <w:ind w:left="0" w:right="-30" w:hanging="2"/>
              <w:rPr>
                <w:rFonts w:ascii="Arial" w:eastAsia="Arial" w:hAnsi="Arial" w:cs="Arial"/>
                <w:b/>
                <w:color w:val="366DB3"/>
                <w:sz w:val="20"/>
                <w:szCs w:val="20"/>
              </w:rPr>
            </w:pPr>
          </w:p>
        </w:tc>
      </w:tr>
      <w:tr w:rsidR="0093709F" w14:paraId="4699F570" w14:textId="77777777">
        <w:trPr>
          <w:trHeight w:val="567"/>
        </w:trPr>
        <w:tc>
          <w:tcPr>
            <w:tcW w:w="9670" w:type="dxa"/>
            <w:tcBorders>
              <w:bottom w:val="single" w:sz="4" w:space="0" w:color="366DB3"/>
            </w:tcBorders>
            <w:vAlign w:val="center"/>
          </w:tcPr>
          <w:p w14:paraId="217CAA32" w14:textId="77777777" w:rsidR="0093709F" w:rsidRDefault="00DB7C5E">
            <w:pPr>
              <w:pBdr>
                <w:top w:val="nil"/>
                <w:left w:val="nil"/>
                <w:bottom w:val="nil"/>
                <w:right w:val="nil"/>
                <w:between w:val="nil"/>
              </w:pBdr>
              <w:spacing w:line="240" w:lineRule="auto"/>
              <w:ind w:left="0" w:right="-30" w:hanging="2"/>
              <w:rPr>
                <w:rFonts w:ascii="Arial" w:eastAsia="Arial" w:hAnsi="Arial" w:cs="Arial"/>
                <w:b/>
                <w:color w:val="366DB3"/>
                <w:sz w:val="20"/>
                <w:szCs w:val="20"/>
              </w:rPr>
            </w:pPr>
            <w:r>
              <w:rPr>
                <w:rFonts w:ascii="Arial" w:eastAsia="Arial" w:hAnsi="Arial" w:cs="Arial"/>
                <w:b/>
                <w:color w:val="366DB3"/>
                <w:sz w:val="20"/>
                <w:szCs w:val="20"/>
              </w:rPr>
              <w:t>IN BREVE</w:t>
            </w:r>
          </w:p>
        </w:tc>
      </w:tr>
      <w:tr w:rsidR="0093709F" w14:paraId="65719DA8" w14:textId="77777777">
        <w:trPr>
          <w:trHeight w:val="567"/>
        </w:trPr>
        <w:tc>
          <w:tcPr>
            <w:tcW w:w="9670" w:type="dxa"/>
            <w:tcBorders>
              <w:top w:val="single" w:sz="4" w:space="0" w:color="366DB3"/>
            </w:tcBorders>
            <w:shd w:val="clear" w:color="auto" w:fill="FFFFFF"/>
            <w:vAlign w:val="center"/>
          </w:tcPr>
          <w:p w14:paraId="19F3A449" w14:textId="74CB835F" w:rsidR="00E478C0" w:rsidRDefault="00A66637"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ascii="Arial" w:eastAsia="Arial" w:hAnsi="Arial" w:cs="Arial"/>
                <w:bCs/>
                <w:color w:val="000000"/>
                <w:sz w:val="20"/>
                <w:szCs w:val="20"/>
              </w:rPr>
            </w:pPr>
            <w:r w:rsidRPr="00A66637">
              <w:rPr>
                <w:rFonts w:ascii="Arial" w:eastAsia="Arial" w:hAnsi="Arial" w:cs="Arial"/>
                <w:bCs/>
                <w:color w:val="000000"/>
                <w:sz w:val="20"/>
                <w:szCs w:val="20"/>
              </w:rPr>
              <w:t>Il visto di conformità per le compensazioni dei crediti IVA in caso di adesione al CPB 2026-2027</w:t>
            </w:r>
          </w:p>
          <w:p w14:paraId="0848FE73" w14:textId="4FF3F32A" w:rsidR="004D79B7" w:rsidRDefault="00157301"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ascii="Arial" w:eastAsia="Arial" w:hAnsi="Arial" w:cs="Arial"/>
                <w:bCs/>
                <w:color w:val="000000"/>
                <w:sz w:val="20"/>
                <w:szCs w:val="20"/>
              </w:rPr>
            </w:pPr>
            <w:r w:rsidRPr="00157301">
              <w:rPr>
                <w:rFonts w:ascii="Arial" w:eastAsia="Arial" w:hAnsi="Arial" w:cs="Arial"/>
                <w:bCs/>
                <w:color w:val="000000"/>
                <w:sz w:val="20"/>
                <w:szCs w:val="20"/>
              </w:rPr>
              <w:t>Definite le modalità e i termini per aderire al ravvedimento speciale CPB 2026-2027</w:t>
            </w:r>
          </w:p>
          <w:p w14:paraId="3E6FAE63" w14:textId="15374600" w:rsidR="005C3EF3" w:rsidRDefault="005C3EF3"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ascii="Arial" w:eastAsia="Arial" w:hAnsi="Arial" w:cs="Arial"/>
                <w:bCs/>
                <w:color w:val="000000"/>
                <w:sz w:val="20"/>
                <w:szCs w:val="20"/>
              </w:rPr>
            </w:pPr>
            <w:r w:rsidRPr="005C3EF3">
              <w:rPr>
                <w:rFonts w:ascii="Arial" w:eastAsia="Arial" w:hAnsi="Arial" w:cs="Arial"/>
                <w:bCs/>
                <w:color w:val="000000"/>
                <w:sz w:val="20"/>
                <w:szCs w:val="20"/>
              </w:rPr>
              <w:t>Manovra 2027: il regime forfetario verso la soglia dei 100.000 euro, ma con obbligo IVA oltre gli 85.000</w:t>
            </w:r>
          </w:p>
          <w:p w14:paraId="0E2A3BE3" w14:textId="43900BE0" w:rsidR="00F42277" w:rsidRDefault="00294B08"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ascii="Arial" w:eastAsia="Arial" w:hAnsi="Arial" w:cs="Arial"/>
                <w:bCs/>
                <w:color w:val="000000"/>
                <w:sz w:val="20"/>
                <w:szCs w:val="20"/>
              </w:rPr>
            </w:pPr>
            <w:r>
              <w:rPr>
                <w:rFonts w:ascii="Arial" w:eastAsia="Arial" w:hAnsi="Arial" w:cs="Arial"/>
                <w:bCs/>
                <w:color w:val="000000"/>
                <w:sz w:val="20"/>
                <w:szCs w:val="20"/>
              </w:rPr>
              <w:t>Istituiti i codici tributo per r</w:t>
            </w:r>
            <w:r w:rsidR="00F42277" w:rsidRPr="00F42277">
              <w:rPr>
                <w:rFonts w:ascii="Arial" w:eastAsia="Arial" w:hAnsi="Arial" w:cs="Arial"/>
                <w:bCs/>
                <w:color w:val="000000"/>
                <w:sz w:val="20"/>
                <w:szCs w:val="20"/>
              </w:rPr>
              <w:t>avvedimento operoso e cumulo giuridico</w:t>
            </w:r>
          </w:p>
          <w:p w14:paraId="70D35C98" w14:textId="77777777" w:rsidR="00533E21" w:rsidRDefault="00533E21"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ascii="Arial" w:eastAsia="Arial" w:hAnsi="Arial" w:cs="Arial"/>
                <w:bCs/>
                <w:color w:val="000000"/>
                <w:sz w:val="20"/>
                <w:szCs w:val="20"/>
              </w:rPr>
            </w:pPr>
            <w:r w:rsidRPr="00533E21">
              <w:rPr>
                <w:rFonts w:ascii="Arial" w:eastAsia="Arial" w:hAnsi="Arial" w:cs="Arial"/>
                <w:bCs/>
                <w:color w:val="000000"/>
                <w:sz w:val="20"/>
                <w:szCs w:val="20"/>
              </w:rPr>
              <w:t>Credito d'imposta carburante per l'autotrasporto: istituito il codice tributo 7082</w:t>
            </w:r>
          </w:p>
          <w:p w14:paraId="33CF0767" w14:textId="273A870B" w:rsidR="003F346D" w:rsidRDefault="0038099C"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ascii="Arial" w:eastAsia="Arial" w:hAnsi="Arial" w:cs="Arial"/>
                <w:bCs/>
                <w:color w:val="000000"/>
                <w:sz w:val="20"/>
                <w:szCs w:val="20"/>
              </w:rPr>
            </w:pPr>
            <w:r>
              <w:rPr>
                <w:rFonts w:ascii="Arial" w:eastAsia="Arial" w:hAnsi="Arial" w:cs="Arial"/>
                <w:bCs/>
                <w:color w:val="000000"/>
                <w:sz w:val="20"/>
                <w:szCs w:val="20"/>
              </w:rPr>
              <w:t>L</w:t>
            </w:r>
            <w:r w:rsidR="003F346D" w:rsidRPr="003F346D">
              <w:rPr>
                <w:rFonts w:ascii="Arial" w:eastAsia="Arial" w:hAnsi="Arial" w:cs="Arial"/>
                <w:bCs/>
                <w:color w:val="000000"/>
                <w:sz w:val="20"/>
                <w:szCs w:val="20"/>
              </w:rPr>
              <w:t>'Agenzia delle Entrate conferma l'indeducibilità degli interessi da ravvedimento operoso</w:t>
            </w:r>
          </w:p>
          <w:p w14:paraId="4F4981F0" w14:textId="77777777" w:rsidR="003F346D" w:rsidRDefault="003F346D"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ascii="Arial" w:eastAsia="Arial" w:hAnsi="Arial" w:cs="Arial"/>
                <w:bCs/>
                <w:color w:val="000000"/>
                <w:sz w:val="20"/>
                <w:szCs w:val="20"/>
              </w:rPr>
            </w:pPr>
            <w:r w:rsidRPr="003F346D">
              <w:rPr>
                <w:rFonts w:ascii="Arial" w:eastAsia="Arial" w:hAnsi="Arial" w:cs="Arial"/>
                <w:bCs/>
                <w:color w:val="000000"/>
                <w:sz w:val="20"/>
                <w:szCs w:val="20"/>
              </w:rPr>
              <w:t>“TrovaTU”: la piattaforma del MEF per navigare tra i nuovi Testi Unici</w:t>
            </w:r>
          </w:p>
          <w:p w14:paraId="678828EA" w14:textId="77777777" w:rsidR="002804BA" w:rsidRDefault="002804BA"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ascii="Arial" w:eastAsia="Arial" w:hAnsi="Arial" w:cs="Arial"/>
                <w:bCs/>
                <w:color w:val="000000"/>
                <w:sz w:val="20"/>
                <w:szCs w:val="20"/>
              </w:rPr>
            </w:pPr>
            <w:r w:rsidRPr="002804BA">
              <w:rPr>
                <w:rFonts w:ascii="Arial" w:eastAsia="Arial" w:hAnsi="Arial" w:cs="Arial"/>
                <w:bCs/>
                <w:color w:val="000000"/>
                <w:sz w:val="20"/>
                <w:szCs w:val="20"/>
              </w:rPr>
              <w:t>Rottamazione-quinquies delle entrate locali: operativi i termini per la presentazione delle istanze</w:t>
            </w:r>
          </w:p>
          <w:p w14:paraId="71FD66A3" w14:textId="03B547BC" w:rsidR="002804BA" w:rsidRPr="00A840FF" w:rsidRDefault="002804BA"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ascii="Arial" w:eastAsia="Arial" w:hAnsi="Arial" w:cs="Arial"/>
                <w:bCs/>
                <w:color w:val="000000"/>
                <w:sz w:val="20"/>
                <w:szCs w:val="20"/>
              </w:rPr>
            </w:pPr>
            <w:r w:rsidRPr="002804BA">
              <w:rPr>
                <w:rFonts w:ascii="Arial" w:eastAsia="Arial" w:hAnsi="Arial" w:cs="Arial"/>
                <w:bCs/>
                <w:color w:val="000000"/>
                <w:sz w:val="20"/>
                <w:szCs w:val="20"/>
              </w:rPr>
              <w:t>Nuove regole per la chiusura automatica de</w:t>
            </w:r>
            <w:r w:rsidRPr="00A840FF">
              <w:rPr>
                <w:rFonts w:ascii="Arial" w:eastAsia="Arial" w:hAnsi="Arial" w:cs="Arial"/>
                <w:bCs/>
                <w:color w:val="000000"/>
                <w:sz w:val="20"/>
                <w:szCs w:val="20"/>
              </w:rPr>
              <w:t xml:space="preserve">lle </w:t>
            </w:r>
            <w:r w:rsidR="00B52BCE" w:rsidRPr="00A840FF">
              <w:rPr>
                <w:rFonts w:ascii="Arial" w:eastAsia="Arial" w:hAnsi="Arial" w:cs="Arial"/>
                <w:bCs/>
                <w:color w:val="000000"/>
                <w:sz w:val="20"/>
                <w:szCs w:val="20"/>
              </w:rPr>
              <w:t>p</w:t>
            </w:r>
            <w:r w:rsidRPr="00A840FF">
              <w:rPr>
                <w:rFonts w:ascii="Arial" w:eastAsia="Arial" w:hAnsi="Arial" w:cs="Arial"/>
                <w:bCs/>
                <w:color w:val="000000"/>
                <w:sz w:val="20"/>
                <w:szCs w:val="20"/>
              </w:rPr>
              <w:t>artite IVA inattive</w:t>
            </w:r>
          </w:p>
          <w:p w14:paraId="25125997" w14:textId="43A92AE9" w:rsidR="00E02368" w:rsidRPr="00A840FF" w:rsidRDefault="00E02368"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ascii="Arial" w:eastAsia="Arial" w:hAnsi="Arial" w:cs="Arial"/>
                <w:bCs/>
                <w:color w:val="000000"/>
                <w:sz w:val="20"/>
                <w:szCs w:val="20"/>
              </w:rPr>
            </w:pPr>
            <w:r w:rsidRPr="00E02368">
              <w:rPr>
                <w:rFonts w:ascii="Arial" w:eastAsia="Arial" w:hAnsi="Arial" w:cs="Arial"/>
                <w:bCs/>
                <w:color w:val="000000"/>
                <w:sz w:val="20"/>
                <w:szCs w:val="20"/>
              </w:rPr>
              <w:t>ENEA aggiorna i suoi vedemecum dedi</w:t>
            </w:r>
            <w:r w:rsidRPr="00A840FF">
              <w:rPr>
                <w:rFonts w:ascii="Arial" w:eastAsia="Arial" w:hAnsi="Arial" w:cs="Arial"/>
                <w:bCs/>
                <w:color w:val="000000"/>
                <w:sz w:val="20"/>
                <w:szCs w:val="20"/>
              </w:rPr>
              <w:t>cati all’</w:t>
            </w:r>
            <w:r w:rsidR="00B52BCE" w:rsidRPr="00A840FF">
              <w:rPr>
                <w:rFonts w:ascii="Arial" w:eastAsia="Arial" w:hAnsi="Arial" w:cs="Arial"/>
                <w:bCs/>
                <w:color w:val="000000"/>
                <w:sz w:val="20"/>
                <w:szCs w:val="20"/>
              </w:rPr>
              <w:t>e</w:t>
            </w:r>
            <w:r w:rsidRPr="00A840FF">
              <w:rPr>
                <w:rFonts w:ascii="Arial" w:eastAsia="Arial" w:hAnsi="Arial" w:cs="Arial"/>
                <w:bCs/>
                <w:color w:val="000000"/>
                <w:sz w:val="20"/>
                <w:szCs w:val="20"/>
              </w:rPr>
              <w:t>cobonus</w:t>
            </w:r>
          </w:p>
          <w:p w14:paraId="49317DAC" w14:textId="77777777" w:rsidR="00E02368" w:rsidRDefault="00E02368"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ascii="Arial" w:eastAsia="Arial" w:hAnsi="Arial" w:cs="Arial"/>
                <w:bCs/>
                <w:color w:val="000000"/>
                <w:sz w:val="20"/>
                <w:szCs w:val="20"/>
              </w:rPr>
            </w:pPr>
            <w:r w:rsidRPr="00A840FF">
              <w:rPr>
                <w:rFonts w:ascii="Arial" w:eastAsia="Arial" w:hAnsi="Arial" w:cs="Arial"/>
                <w:bCs/>
                <w:color w:val="000000"/>
                <w:sz w:val="20"/>
                <w:szCs w:val="20"/>
              </w:rPr>
              <w:t>Transizione 5.0: al via sulla piattaforma GSE le comunicazioni di co</w:t>
            </w:r>
            <w:r w:rsidRPr="00E02368">
              <w:rPr>
                <w:rFonts w:ascii="Arial" w:eastAsia="Arial" w:hAnsi="Arial" w:cs="Arial"/>
                <w:bCs/>
                <w:color w:val="000000"/>
                <w:sz w:val="20"/>
                <w:szCs w:val="20"/>
              </w:rPr>
              <w:t>mpletamento degli investimenti</w:t>
            </w:r>
          </w:p>
          <w:p w14:paraId="2CF6C861" w14:textId="77777777" w:rsidR="00E02368" w:rsidRDefault="00E02368"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ascii="Arial" w:eastAsia="Arial" w:hAnsi="Arial" w:cs="Arial"/>
                <w:bCs/>
                <w:color w:val="000000"/>
                <w:sz w:val="20"/>
                <w:szCs w:val="20"/>
              </w:rPr>
            </w:pPr>
            <w:r w:rsidRPr="00E02368">
              <w:rPr>
                <w:rFonts w:ascii="Arial" w:eastAsia="Arial" w:hAnsi="Arial" w:cs="Arial"/>
                <w:bCs/>
                <w:color w:val="000000"/>
                <w:sz w:val="20"/>
                <w:szCs w:val="20"/>
              </w:rPr>
              <w:t>Impianti fotovoltaici operativi e sistemi di accumulo: applicabile l'aliquota IVA ordinaria del 22 per cento</w:t>
            </w:r>
          </w:p>
          <w:p w14:paraId="766395AA" w14:textId="39EC6949" w:rsidR="00E02368" w:rsidRPr="007F1556" w:rsidRDefault="00E02368"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ascii="Arial" w:eastAsia="Arial" w:hAnsi="Arial" w:cs="Arial"/>
                <w:bCs/>
                <w:color w:val="000000"/>
                <w:sz w:val="20"/>
                <w:szCs w:val="20"/>
              </w:rPr>
            </w:pPr>
            <w:r w:rsidRPr="00E02368">
              <w:rPr>
                <w:rFonts w:ascii="Arial" w:eastAsia="Arial" w:hAnsi="Arial" w:cs="Arial"/>
                <w:bCs/>
                <w:color w:val="000000"/>
                <w:sz w:val="20"/>
                <w:szCs w:val="20"/>
              </w:rPr>
              <w:t>Previdenza complementare: sono online i simulatori del Ministero</w:t>
            </w:r>
          </w:p>
        </w:tc>
      </w:tr>
      <w:tr w:rsidR="0093709F" w14:paraId="48E299F5" w14:textId="77777777">
        <w:trPr>
          <w:trHeight w:val="567"/>
        </w:trPr>
        <w:tc>
          <w:tcPr>
            <w:tcW w:w="9670" w:type="dxa"/>
            <w:tcBorders>
              <w:bottom w:val="single" w:sz="4" w:space="0" w:color="366DB3"/>
            </w:tcBorders>
            <w:vAlign w:val="center"/>
          </w:tcPr>
          <w:p w14:paraId="52BA1C75" w14:textId="77777777" w:rsidR="0093709F" w:rsidRDefault="00DB7C5E" w:rsidP="00B52BCE">
            <w:pPr>
              <w:pBdr>
                <w:top w:val="nil"/>
                <w:left w:val="nil"/>
                <w:bottom w:val="nil"/>
                <w:right w:val="nil"/>
                <w:between w:val="nil"/>
              </w:pBdr>
              <w:spacing w:line="240" w:lineRule="auto"/>
              <w:ind w:leftChars="0" w:left="0" w:right="-30" w:firstLineChars="0" w:firstLine="0"/>
              <w:rPr>
                <w:rFonts w:ascii="Arial" w:eastAsia="Arial" w:hAnsi="Arial" w:cs="Arial"/>
                <w:b/>
                <w:color w:val="366DB3"/>
                <w:sz w:val="20"/>
                <w:szCs w:val="20"/>
              </w:rPr>
            </w:pPr>
            <w:r>
              <w:rPr>
                <w:rFonts w:ascii="Arial" w:eastAsia="Arial" w:hAnsi="Arial" w:cs="Arial"/>
                <w:b/>
                <w:color w:val="366DB3"/>
                <w:sz w:val="20"/>
                <w:szCs w:val="20"/>
              </w:rPr>
              <w:t>APPROFONDIMENTI</w:t>
            </w:r>
          </w:p>
        </w:tc>
      </w:tr>
      <w:tr w:rsidR="0093709F" w14:paraId="02F252BE" w14:textId="77777777">
        <w:trPr>
          <w:trHeight w:val="567"/>
        </w:trPr>
        <w:tc>
          <w:tcPr>
            <w:tcW w:w="9670" w:type="dxa"/>
            <w:tcBorders>
              <w:top w:val="single" w:sz="4" w:space="0" w:color="366DB3"/>
            </w:tcBorders>
            <w:vAlign w:val="center"/>
          </w:tcPr>
          <w:p w14:paraId="2304D220" w14:textId="77777777" w:rsidR="00AE2F3A" w:rsidRPr="00A66637" w:rsidRDefault="00A43B9E"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ascii="Arial" w:eastAsia="Arial" w:hAnsi="Arial" w:cs="Arial"/>
                <w:bCs/>
                <w:color w:val="000000"/>
                <w:sz w:val="20"/>
                <w:szCs w:val="20"/>
              </w:rPr>
            </w:pPr>
            <w:r w:rsidRPr="00A66637">
              <w:rPr>
                <w:rFonts w:ascii="Arial" w:eastAsia="Arial" w:hAnsi="Arial" w:cs="Arial"/>
                <w:bCs/>
                <w:color w:val="000000"/>
                <w:sz w:val="20"/>
                <w:szCs w:val="20"/>
              </w:rPr>
              <w:t>Concordato Preventivo Biennale 2026-2027 e crediti IVA infrannuali: regole operative sul visto di conformità</w:t>
            </w:r>
          </w:p>
          <w:p w14:paraId="338B52C0" w14:textId="67928928" w:rsidR="004D79B7" w:rsidRPr="008C7273" w:rsidRDefault="004D79B7" w:rsidP="00465C43">
            <w:pPr>
              <w:pStyle w:val="Paragrafoelenco"/>
              <w:numPr>
                <w:ilvl w:val="0"/>
                <w:numId w:val="3"/>
              </w:numPr>
              <w:pBdr>
                <w:top w:val="nil"/>
                <w:left w:val="nil"/>
                <w:bottom w:val="nil"/>
                <w:right w:val="nil"/>
                <w:between w:val="nil"/>
              </w:pBdr>
              <w:spacing w:before="120" w:after="120" w:line="360" w:lineRule="auto"/>
              <w:ind w:leftChars="0" w:right="-28" w:firstLineChars="0"/>
              <w:rPr>
                <w:rFonts w:eastAsia="Arial"/>
                <w:color w:val="000000"/>
                <w:sz w:val="20"/>
                <w:szCs w:val="20"/>
              </w:rPr>
            </w:pPr>
            <w:r w:rsidRPr="00A66637">
              <w:rPr>
                <w:rFonts w:ascii="Arial" w:eastAsia="Arial" w:hAnsi="Arial" w:cs="Arial"/>
                <w:bCs/>
                <w:color w:val="000000"/>
                <w:sz w:val="20"/>
                <w:szCs w:val="20"/>
              </w:rPr>
              <w:t>CPB e ravved</w:t>
            </w:r>
            <w:r w:rsidRPr="00157301">
              <w:rPr>
                <w:rFonts w:ascii="Arial" w:eastAsia="Arial" w:hAnsi="Arial" w:cs="Arial"/>
                <w:bCs/>
                <w:color w:val="000000"/>
                <w:sz w:val="20"/>
                <w:szCs w:val="20"/>
              </w:rPr>
              <w:t>imento speciale</w:t>
            </w:r>
          </w:p>
        </w:tc>
      </w:tr>
    </w:tbl>
    <w:tbl>
      <w:tblPr>
        <w:tblStyle w:val="a0"/>
        <w:tblW w:w="9670" w:type="dxa"/>
        <w:tblInd w:w="0" w:type="dxa"/>
        <w:tblLayout w:type="fixed"/>
        <w:tblLook w:val="0000" w:firstRow="0" w:lastRow="0" w:firstColumn="0" w:lastColumn="0" w:noHBand="0" w:noVBand="0"/>
      </w:tblPr>
      <w:tblGrid>
        <w:gridCol w:w="9670"/>
      </w:tblGrid>
      <w:tr w:rsidR="0093709F" w14:paraId="3361C925" w14:textId="77777777">
        <w:trPr>
          <w:trHeight w:val="567"/>
        </w:trPr>
        <w:tc>
          <w:tcPr>
            <w:tcW w:w="9670" w:type="dxa"/>
            <w:tcBorders>
              <w:bottom w:val="single" w:sz="4" w:space="0" w:color="366DB3"/>
            </w:tcBorders>
            <w:vAlign w:val="center"/>
          </w:tcPr>
          <w:p w14:paraId="7A553F14" w14:textId="77777777" w:rsidR="0093709F" w:rsidRDefault="00DB7C5E">
            <w:pPr>
              <w:pBdr>
                <w:top w:val="nil"/>
                <w:left w:val="nil"/>
                <w:bottom w:val="nil"/>
                <w:right w:val="nil"/>
                <w:between w:val="nil"/>
              </w:pBdr>
              <w:spacing w:line="240" w:lineRule="auto"/>
              <w:ind w:left="0" w:right="-30" w:hanging="2"/>
              <w:rPr>
                <w:rFonts w:ascii="Arial" w:eastAsia="Arial" w:hAnsi="Arial" w:cs="Arial"/>
                <w:b/>
                <w:color w:val="366DB3"/>
                <w:sz w:val="20"/>
                <w:szCs w:val="20"/>
              </w:rPr>
            </w:pPr>
            <w:r>
              <w:rPr>
                <w:rFonts w:ascii="Arial" w:eastAsia="Arial" w:hAnsi="Arial" w:cs="Arial"/>
                <w:b/>
                <w:color w:val="366DB3"/>
                <w:sz w:val="20"/>
                <w:szCs w:val="20"/>
              </w:rPr>
              <w:t>PRINCIPALI SCADENZE</w:t>
            </w:r>
          </w:p>
        </w:tc>
      </w:tr>
      <w:tr w:rsidR="0093709F" w14:paraId="287505EC" w14:textId="77777777">
        <w:trPr>
          <w:trHeight w:val="567"/>
        </w:trPr>
        <w:tc>
          <w:tcPr>
            <w:tcW w:w="9670" w:type="dxa"/>
            <w:tcBorders>
              <w:top w:val="single" w:sz="4" w:space="0" w:color="366DB3"/>
            </w:tcBorders>
            <w:vAlign w:val="center"/>
          </w:tcPr>
          <w:p w14:paraId="496E530D" w14:textId="77777777" w:rsidR="0093709F" w:rsidRDefault="0093709F">
            <w:pPr>
              <w:pBdr>
                <w:top w:val="nil"/>
                <w:left w:val="nil"/>
                <w:bottom w:val="nil"/>
                <w:right w:val="nil"/>
                <w:between w:val="nil"/>
              </w:pBdr>
              <w:spacing w:before="120" w:after="120" w:line="240" w:lineRule="auto"/>
              <w:ind w:left="0" w:right="-28" w:hanging="2"/>
              <w:rPr>
                <w:rFonts w:ascii="Arial" w:eastAsia="Arial" w:hAnsi="Arial" w:cs="Arial"/>
                <w:color w:val="000000"/>
                <w:sz w:val="20"/>
                <w:szCs w:val="20"/>
              </w:rPr>
            </w:pPr>
          </w:p>
        </w:tc>
      </w:tr>
      <w:tr w:rsidR="0093709F" w14:paraId="034C7027" w14:textId="77777777">
        <w:trPr>
          <w:trHeight w:val="567"/>
        </w:trPr>
        <w:tc>
          <w:tcPr>
            <w:tcW w:w="9670" w:type="dxa"/>
            <w:vAlign w:val="center"/>
          </w:tcPr>
          <w:p w14:paraId="2C70ED4D" w14:textId="77777777" w:rsidR="0093709F" w:rsidRDefault="0093709F">
            <w:pPr>
              <w:pBdr>
                <w:top w:val="nil"/>
                <w:left w:val="nil"/>
                <w:bottom w:val="nil"/>
                <w:right w:val="nil"/>
                <w:between w:val="nil"/>
              </w:pBdr>
              <w:spacing w:line="240" w:lineRule="auto"/>
              <w:ind w:left="0" w:right="-30" w:hanging="2"/>
              <w:rPr>
                <w:rFonts w:ascii="Arial" w:eastAsia="Arial" w:hAnsi="Arial" w:cs="Arial"/>
                <w:color w:val="000000"/>
                <w:sz w:val="20"/>
                <w:szCs w:val="20"/>
              </w:rPr>
            </w:pPr>
          </w:p>
        </w:tc>
      </w:tr>
      <w:tr w:rsidR="0093709F" w14:paraId="47BC34AB" w14:textId="77777777">
        <w:trPr>
          <w:trHeight w:val="567"/>
        </w:trPr>
        <w:tc>
          <w:tcPr>
            <w:tcW w:w="9670" w:type="dxa"/>
            <w:vAlign w:val="center"/>
          </w:tcPr>
          <w:p w14:paraId="26773F18" w14:textId="77777777" w:rsidR="0093709F" w:rsidRDefault="0093709F">
            <w:pPr>
              <w:pBdr>
                <w:top w:val="nil"/>
                <w:left w:val="nil"/>
                <w:bottom w:val="nil"/>
                <w:right w:val="nil"/>
                <w:between w:val="nil"/>
              </w:pBdr>
              <w:spacing w:line="240" w:lineRule="auto"/>
              <w:ind w:left="0" w:right="-30" w:hanging="2"/>
              <w:rPr>
                <w:rFonts w:ascii="Arial" w:eastAsia="Arial" w:hAnsi="Arial" w:cs="Arial"/>
                <w:color w:val="000000"/>
                <w:sz w:val="20"/>
                <w:szCs w:val="20"/>
              </w:rPr>
            </w:pPr>
          </w:p>
        </w:tc>
      </w:tr>
    </w:tbl>
    <w:p w14:paraId="1A3D5067" w14:textId="77777777" w:rsidR="0093709F" w:rsidRDefault="0093709F">
      <w:pPr>
        <w:pBdr>
          <w:top w:val="nil"/>
          <w:left w:val="nil"/>
          <w:bottom w:val="nil"/>
          <w:right w:val="nil"/>
          <w:between w:val="nil"/>
        </w:pBdr>
        <w:spacing w:line="240" w:lineRule="auto"/>
        <w:ind w:left="0" w:hanging="2"/>
        <w:jc w:val="center"/>
        <w:rPr>
          <w:color w:val="000000"/>
        </w:rPr>
        <w:sectPr w:rsidR="0093709F">
          <w:headerReference w:type="default" r:id="rId9"/>
          <w:footerReference w:type="even" r:id="rId10"/>
          <w:footerReference w:type="default" r:id="rId11"/>
          <w:pgSz w:w="11906" w:h="16838"/>
          <w:pgMar w:top="1418" w:right="1134" w:bottom="1134" w:left="1134" w:header="709" w:footer="709" w:gutter="0"/>
          <w:pgNumType w:start="1"/>
          <w:cols w:space="720"/>
        </w:sectPr>
      </w:pPr>
    </w:p>
    <w:p w14:paraId="3D422F73" w14:textId="77777777" w:rsidR="0093709F" w:rsidRDefault="0093709F">
      <w:pPr>
        <w:widowControl w:val="0"/>
        <w:pBdr>
          <w:top w:val="nil"/>
          <w:left w:val="nil"/>
          <w:bottom w:val="nil"/>
          <w:right w:val="nil"/>
          <w:between w:val="nil"/>
        </w:pBdr>
        <w:spacing w:line="276" w:lineRule="auto"/>
        <w:ind w:left="0" w:hanging="2"/>
        <w:rPr>
          <w:color w:val="000000"/>
        </w:rPr>
      </w:pPr>
    </w:p>
    <w:tbl>
      <w:tblPr>
        <w:tblStyle w:val="a1"/>
        <w:tblW w:w="9670" w:type="dxa"/>
        <w:tblInd w:w="0" w:type="dxa"/>
        <w:tblLayout w:type="fixed"/>
        <w:tblLook w:val="0000" w:firstRow="0" w:lastRow="0" w:firstColumn="0" w:lastColumn="0" w:noHBand="0" w:noVBand="0"/>
      </w:tblPr>
      <w:tblGrid>
        <w:gridCol w:w="9670"/>
      </w:tblGrid>
      <w:tr w:rsidR="0093709F" w14:paraId="6F958CB4" w14:textId="77777777">
        <w:trPr>
          <w:trHeight w:val="567"/>
        </w:trPr>
        <w:tc>
          <w:tcPr>
            <w:tcW w:w="9670" w:type="dxa"/>
            <w:tcBorders>
              <w:bottom w:val="single" w:sz="4" w:space="0" w:color="366DB3"/>
            </w:tcBorders>
            <w:vAlign w:val="center"/>
          </w:tcPr>
          <w:p w14:paraId="2F2312D0" w14:textId="77777777" w:rsidR="0093709F" w:rsidRDefault="00DB7C5E">
            <w:pPr>
              <w:pBdr>
                <w:top w:val="nil"/>
                <w:left w:val="nil"/>
                <w:bottom w:val="nil"/>
                <w:right w:val="nil"/>
                <w:between w:val="nil"/>
              </w:pBdr>
              <w:spacing w:line="240" w:lineRule="auto"/>
              <w:ind w:left="1" w:right="-30" w:hanging="3"/>
              <w:jc w:val="center"/>
              <w:rPr>
                <w:rFonts w:ascii="Arial" w:eastAsia="Arial" w:hAnsi="Arial" w:cs="Arial"/>
                <w:b/>
                <w:color w:val="366DB3"/>
                <w:sz w:val="28"/>
                <w:szCs w:val="28"/>
              </w:rPr>
            </w:pPr>
            <w:r>
              <w:rPr>
                <w:rFonts w:ascii="Arial" w:eastAsia="Arial" w:hAnsi="Arial" w:cs="Arial"/>
                <w:b/>
                <w:color w:val="366DB3"/>
                <w:sz w:val="28"/>
                <w:szCs w:val="28"/>
              </w:rPr>
              <w:t>IN BREVE</w:t>
            </w:r>
          </w:p>
        </w:tc>
      </w:tr>
    </w:tbl>
    <w:p w14:paraId="7A7A9569" w14:textId="77777777" w:rsidR="0093709F" w:rsidRPr="00B52BCE" w:rsidRDefault="0093709F" w:rsidP="00B52BCE">
      <w:pPr>
        <w:pStyle w:val="titolodocumento"/>
        <w:suppressAutoHyphens w:val="0"/>
        <w:spacing w:line="300" w:lineRule="atLeast"/>
        <w:ind w:leftChars="0" w:left="0" w:firstLineChars="0" w:firstLine="0"/>
        <w:jc w:val="both"/>
        <w:textAlignment w:val="auto"/>
        <w:outlineLvl w:val="9"/>
        <w:rPr>
          <w:rFonts w:ascii="Arial" w:hAnsi="Arial" w:cs="Arial"/>
          <w:b w:val="0"/>
          <w:imprint w:val="0"/>
          <w:color w:val="auto"/>
          <w:position w:val="0"/>
          <w:sz w:val="20"/>
          <w:szCs w:val="20"/>
        </w:rPr>
      </w:pPr>
      <w:bookmarkStart w:id="0" w:name="_heading=h.gjdgxs" w:colFirst="0" w:colLast="0"/>
      <w:bookmarkEnd w:id="0"/>
    </w:p>
    <w:p w14:paraId="69B237CA" w14:textId="72C31CAE" w:rsidR="00B52BCE" w:rsidRPr="00DD1E32" w:rsidRDefault="00B52BCE" w:rsidP="00DD1E32">
      <w:pPr>
        <w:shd w:val="clear" w:color="auto" w:fill="FFFFFF"/>
        <w:overflowPunct w:val="0"/>
        <w:autoSpaceDE w:val="0"/>
        <w:autoSpaceDN w:val="0"/>
        <w:adjustRightInd w:val="0"/>
        <w:spacing w:line="300" w:lineRule="atLeast"/>
        <w:ind w:left="0" w:hanging="2"/>
        <w:jc w:val="both"/>
        <w:textAlignment w:val="baseline"/>
        <w:rPr>
          <w:rFonts w:ascii="Calibri" w:eastAsia="Aptos" w:hAnsi="Calibri" w:cs="Arial"/>
          <w:color w:val="0F0F0F"/>
          <w:kern w:val="2"/>
          <w:sz w:val="22"/>
          <w:szCs w:val="22"/>
          <w:lang w:eastAsia="en-US"/>
        </w:rPr>
      </w:pPr>
      <w:r w:rsidRPr="00DD1E32">
        <w:rPr>
          <w:rFonts w:ascii="Calibri" w:eastAsia="Aptos" w:hAnsi="Calibri" w:cs="Arial"/>
          <w:color w:val="0F0F0F"/>
          <w:kern w:val="2"/>
          <w:sz w:val="22"/>
          <w:szCs w:val="22"/>
          <w:lang w:eastAsia="en-US"/>
        </w:rPr>
        <w:t>ACCERTAMENTO E RISCOSSIONE</w:t>
      </w:r>
    </w:p>
    <w:p w14:paraId="7A7A37C4" w14:textId="1284D70E" w:rsidR="00A43B9E" w:rsidRPr="00B52BCE" w:rsidRDefault="00A66637" w:rsidP="00B52BCE">
      <w:pPr>
        <w:pBdr>
          <w:top w:val="nil"/>
          <w:left w:val="nil"/>
          <w:bottom w:val="nil"/>
          <w:right w:val="nil"/>
          <w:between w:val="nil"/>
        </w:pBdr>
        <w:spacing w:line="300" w:lineRule="atLeast"/>
        <w:ind w:left="0" w:hanging="2"/>
        <w:jc w:val="both"/>
        <w:rPr>
          <w:rFonts w:ascii="Arial" w:eastAsia="Arial" w:hAnsi="Arial" w:cs="Arial"/>
          <w:b/>
          <w:bCs/>
          <w:color w:val="000000"/>
          <w:sz w:val="20"/>
          <w:szCs w:val="20"/>
        </w:rPr>
      </w:pPr>
      <w:r>
        <w:rPr>
          <w:rFonts w:ascii="Arial" w:eastAsia="Arial" w:hAnsi="Arial" w:cs="Arial"/>
          <w:b/>
          <w:bCs/>
          <w:color w:val="000000"/>
          <w:sz w:val="20"/>
          <w:szCs w:val="20"/>
        </w:rPr>
        <w:t xml:space="preserve">Il visto di conformità per le compensazioni dei crediti IVA in caso di adesione al CPB </w:t>
      </w:r>
      <w:r w:rsidR="00A43B9E" w:rsidRPr="00B52BCE">
        <w:rPr>
          <w:rFonts w:ascii="Arial" w:eastAsia="Arial" w:hAnsi="Arial" w:cs="Arial"/>
          <w:b/>
          <w:bCs/>
          <w:color w:val="000000"/>
          <w:sz w:val="20"/>
          <w:szCs w:val="20"/>
        </w:rPr>
        <w:t>2026-2027</w:t>
      </w:r>
    </w:p>
    <w:p w14:paraId="6B463567" w14:textId="2D90037A" w:rsidR="00A43B9E" w:rsidRPr="00B52BCE" w:rsidRDefault="00A43B9E" w:rsidP="00B52BCE">
      <w:pPr>
        <w:pBdr>
          <w:top w:val="nil"/>
          <w:left w:val="nil"/>
          <w:bottom w:val="nil"/>
          <w:right w:val="nil"/>
          <w:between w:val="nil"/>
        </w:pBdr>
        <w:spacing w:line="300" w:lineRule="atLeast"/>
        <w:ind w:left="0" w:hanging="2"/>
        <w:jc w:val="both"/>
        <w:rPr>
          <w:rFonts w:ascii="Arial" w:eastAsia="Arial" w:hAnsi="Arial" w:cs="Arial"/>
          <w:color w:val="000000"/>
          <w:sz w:val="20"/>
          <w:szCs w:val="20"/>
        </w:rPr>
      </w:pPr>
      <w:r w:rsidRPr="00B52BCE">
        <w:rPr>
          <w:rFonts w:ascii="Arial" w:eastAsia="Arial" w:hAnsi="Arial" w:cs="Arial"/>
          <w:color w:val="000000"/>
          <w:sz w:val="20"/>
          <w:szCs w:val="20"/>
        </w:rPr>
        <w:t xml:space="preserve">L'adesione al </w:t>
      </w:r>
      <w:r w:rsidR="00DD1E32">
        <w:rPr>
          <w:rFonts w:ascii="Arial" w:eastAsia="Arial" w:hAnsi="Arial" w:cs="Arial"/>
          <w:color w:val="000000"/>
          <w:sz w:val="20"/>
          <w:szCs w:val="20"/>
        </w:rPr>
        <w:t>c</w:t>
      </w:r>
      <w:r w:rsidRPr="00B52BCE">
        <w:rPr>
          <w:rFonts w:ascii="Arial" w:eastAsia="Arial" w:hAnsi="Arial" w:cs="Arial"/>
          <w:color w:val="000000"/>
          <w:sz w:val="20"/>
          <w:szCs w:val="20"/>
        </w:rPr>
        <w:t xml:space="preserve">oncordato </w:t>
      </w:r>
      <w:r w:rsidR="00DD1E32">
        <w:rPr>
          <w:rFonts w:ascii="Arial" w:eastAsia="Arial" w:hAnsi="Arial" w:cs="Arial"/>
          <w:color w:val="000000"/>
          <w:sz w:val="20"/>
          <w:szCs w:val="20"/>
        </w:rPr>
        <w:t>p</w:t>
      </w:r>
      <w:r w:rsidRPr="00B52BCE">
        <w:rPr>
          <w:rFonts w:ascii="Arial" w:eastAsia="Arial" w:hAnsi="Arial" w:cs="Arial"/>
          <w:color w:val="000000"/>
          <w:sz w:val="20"/>
          <w:szCs w:val="20"/>
        </w:rPr>
        <w:t xml:space="preserve">reventivo </w:t>
      </w:r>
      <w:r w:rsidR="00DD1E32">
        <w:rPr>
          <w:rFonts w:ascii="Arial" w:eastAsia="Arial" w:hAnsi="Arial" w:cs="Arial"/>
          <w:color w:val="000000"/>
          <w:sz w:val="20"/>
          <w:szCs w:val="20"/>
        </w:rPr>
        <w:t>b</w:t>
      </w:r>
      <w:r w:rsidRPr="00B52BCE">
        <w:rPr>
          <w:rFonts w:ascii="Arial" w:eastAsia="Arial" w:hAnsi="Arial" w:cs="Arial"/>
          <w:color w:val="000000"/>
          <w:sz w:val="20"/>
          <w:szCs w:val="20"/>
        </w:rPr>
        <w:t xml:space="preserve">iennale per il biennio 2026-2027 attribuisce ai contribuenti il pacchetto di premialità ISA previsto dall'art. 9-bis del D.L. </w:t>
      </w:r>
      <w:r w:rsidR="00DD1E32">
        <w:rPr>
          <w:rFonts w:ascii="Arial" w:eastAsia="Arial" w:hAnsi="Arial" w:cs="Arial"/>
          <w:color w:val="000000"/>
          <w:sz w:val="20"/>
          <w:szCs w:val="20"/>
        </w:rPr>
        <w:t xml:space="preserve">n. </w:t>
      </w:r>
      <w:r w:rsidRPr="00B52BCE">
        <w:rPr>
          <w:rFonts w:ascii="Arial" w:eastAsia="Arial" w:hAnsi="Arial" w:cs="Arial"/>
          <w:color w:val="000000"/>
          <w:sz w:val="20"/>
          <w:szCs w:val="20"/>
        </w:rPr>
        <w:t>50/2017, tra cui spicca l'</w:t>
      </w:r>
      <w:r w:rsidRPr="00DD1E32">
        <w:rPr>
          <w:rFonts w:ascii="Arial" w:eastAsia="Arial" w:hAnsi="Arial" w:cs="Arial"/>
          <w:b/>
          <w:bCs/>
          <w:color w:val="000000"/>
          <w:sz w:val="20"/>
          <w:szCs w:val="20"/>
        </w:rPr>
        <w:t>innalzamento delle soglie di esonero</w:t>
      </w:r>
      <w:r w:rsidRPr="00B52BCE">
        <w:rPr>
          <w:rFonts w:ascii="Arial" w:eastAsia="Arial" w:hAnsi="Arial" w:cs="Arial"/>
          <w:color w:val="000000"/>
          <w:sz w:val="20"/>
          <w:szCs w:val="20"/>
        </w:rPr>
        <w:t xml:space="preserve"> dall'apposizione del visto di conformità per le compensazioni orizzontali dei crediti IVA.</w:t>
      </w:r>
    </w:p>
    <w:p w14:paraId="7F7BA7A0" w14:textId="77777777" w:rsidR="00A43B9E" w:rsidRPr="00B52BCE" w:rsidRDefault="00A43B9E" w:rsidP="00B52BCE">
      <w:pPr>
        <w:pBdr>
          <w:top w:val="nil"/>
          <w:left w:val="nil"/>
          <w:bottom w:val="nil"/>
          <w:right w:val="nil"/>
          <w:between w:val="nil"/>
        </w:pBdr>
        <w:spacing w:line="300" w:lineRule="atLeast"/>
        <w:ind w:left="0" w:hanging="2"/>
        <w:jc w:val="both"/>
        <w:rPr>
          <w:rFonts w:ascii="Arial" w:eastAsia="Arial" w:hAnsi="Arial" w:cs="Arial"/>
          <w:color w:val="000000"/>
          <w:sz w:val="20"/>
          <w:szCs w:val="20"/>
        </w:rPr>
      </w:pPr>
      <w:r w:rsidRPr="00B52BCE">
        <w:rPr>
          <w:rFonts w:ascii="Arial" w:eastAsia="Arial" w:hAnsi="Arial" w:cs="Arial"/>
          <w:color w:val="000000"/>
          <w:sz w:val="20"/>
          <w:szCs w:val="20"/>
        </w:rPr>
        <w:t>Tuttavia, la gestione dei crediti IVA infrannuali (modello IVA TR) maturati nel corso del 2026 richiede particolare cautela: la sovrapposizione tra la tempistica dell'opzione in dichiarazione dei redditi e il meccanismo di decorrenza temporale fissato dall'Amministrazione finanziaria esclude automatismi retroattivi o estensioni indebite.</w:t>
      </w:r>
    </w:p>
    <w:p w14:paraId="6646BAF3" w14:textId="77777777" w:rsidR="002E11D4" w:rsidRPr="00B52BCE" w:rsidRDefault="002E11D4" w:rsidP="00B52BCE">
      <w:pPr>
        <w:pBdr>
          <w:top w:val="nil"/>
          <w:left w:val="nil"/>
          <w:bottom w:val="nil"/>
          <w:right w:val="nil"/>
          <w:between w:val="nil"/>
        </w:pBdr>
        <w:spacing w:line="300" w:lineRule="atLeast"/>
        <w:ind w:left="0" w:hanging="2"/>
        <w:jc w:val="both"/>
        <w:rPr>
          <w:rFonts w:ascii="Arial" w:eastAsia="Arial" w:hAnsi="Arial" w:cs="Arial"/>
          <w:bCs/>
          <w:color w:val="000000"/>
          <w:sz w:val="20"/>
          <w:szCs w:val="20"/>
        </w:rPr>
      </w:pPr>
    </w:p>
    <w:p w14:paraId="5ED7CC3D" w14:textId="77777777" w:rsidR="00DD1E32" w:rsidRPr="00062B15" w:rsidRDefault="00DD1E32" w:rsidP="00DD1E32">
      <w:pPr>
        <w:shd w:val="clear" w:color="auto" w:fill="FFFFFF"/>
        <w:overflowPunct w:val="0"/>
        <w:autoSpaceDE w:val="0"/>
        <w:autoSpaceDN w:val="0"/>
        <w:adjustRightInd w:val="0"/>
        <w:spacing w:line="300" w:lineRule="atLeast"/>
        <w:ind w:left="0" w:hanging="2"/>
        <w:jc w:val="both"/>
        <w:textAlignment w:val="baseline"/>
        <w:rPr>
          <w:rFonts w:ascii="Arial" w:hAnsi="Arial" w:cs="Arial"/>
          <w:i/>
          <w:color w:val="0F0F0F"/>
          <w:sz w:val="20"/>
          <w:szCs w:val="20"/>
        </w:rPr>
      </w:pPr>
      <w:r w:rsidRPr="00062B15">
        <w:rPr>
          <w:rFonts w:ascii="Arial" w:hAnsi="Arial" w:cs="Arial"/>
          <w:i/>
          <w:color w:val="0F0F0F"/>
          <w:sz w:val="20"/>
          <w:szCs w:val="20"/>
        </w:rPr>
        <w:t>Vedi l’Approfondimento</w:t>
      </w:r>
    </w:p>
    <w:p w14:paraId="163E2D77" w14:textId="77777777" w:rsidR="0093709F" w:rsidRPr="00B52BCE" w:rsidRDefault="0093709F" w:rsidP="00B52BCE">
      <w:pPr>
        <w:pBdr>
          <w:top w:val="nil"/>
          <w:left w:val="nil"/>
          <w:bottom w:val="nil"/>
          <w:right w:val="nil"/>
          <w:between w:val="nil"/>
        </w:pBdr>
        <w:spacing w:line="300" w:lineRule="atLeast"/>
        <w:ind w:left="0" w:right="-30" w:hanging="2"/>
        <w:jc w:val="both"/>
        <w:rPr>
          <w:rFonts w:ascii="Arial" w:eastAsia="Arial" w:hAnsi="Arial" w:cs="Arial"/>
          <w:color w:val="000000"/>
          <w:sz w:val="20"/>
          <w:szCs w:val="20"/>
        </w:rPr>
      </w:pPr>
    </w:p>
    <w:p w14:paraId="6A62FA21" w14:textId="77777777" w:rsidR="0093709F" w:rsidRPr="00B52BCE" w:rsidRDefault="0093709F" w:rsidP="00B52BCE">
      <w:pPr>
        <w:pBdr>
          <w:top w:val="nil"/>
          <w:left w:val="nil"/>
          <w:bottom w:val="nil"/>
          <w:right w:val="nil"/>
          <w:between w:val="nil"/>
        </w:pBdr>
        <w:spacing w:line="300" w:lineRule="atLeast"/>
        <w:ind w:left="0" w:right="-30" w:hanging="2"/>
        <w:jc w:val="both"/>
        <w:rPr>
          <w:rFonts w:ascii="Arial" w:eastAsia="Arial" w:hAnsi="Arial" w:cs="Arial"/>
          <w:color w:val="000000"/>
          <w:sz w:val="20"/>
          <w:szCs w:val="20"/>
        </w:rPr>
      </w:pPr>
    </w:p>
    <w:p w14:paraId="2A752B13" w14:textId="77777777" w:rsidR="00DD1E32" w:rsidRPr="00DD1E32" w:rsidRDefault="00DD1E32" w:rsidP="00DD1E32">
      <w:pPr>
        <w:shd w:val="clear" w:color="auto" w:fill="FFFFFF"/>
        <w:overflowPunct w:val="0"/>
        <w:autoSpaceDE w:val="0"/>
        <w:autoSpaceDN w:val="0"/>
        <w:adjustRightInd w:val="0"/>
        <w:spacing w:line="300" w:lineRule="atLeast"/>
        <w:ind w:left="0" w:hanging="2"/>
        <w:jc w:val="both"/>
        <w:textAlignment w:val="baseline"/>
        <w:rPr>
          <w:rFonts w:ascii="Calibri" w:eastAsia="Aptos" w:hAnsi="Calibri" w:cs="Arial"/>
          <w:color w:val="0F0F0F"/>
          <w:kern w:val="2"/>
          <w:sz w:val="22"/>
          <w:szCs w:val="22"/>
          <w:lang w:eastAsia="en-US"/>
        </w:rPr>
      </w:pPr>
      <w:r w:rsidRPr="00DD1E32">
        <w:rPr>
          <w:rFonts w:ascii="Calibri" w:eastAsia="Aptos" w:hAnsi="Calibri" w:cs="Arial"/>
          <w:color w:val="0F0F0F"/>
          <w:kern w:val="2"/>
          <w:sz w:val="22"/>
          <w:szCs w:val="22"/>
          <w:lang w:eastAsia="en-US"/>
        </w:rPr>
        <w:t>ACCERTAMENTO E RISCOSSIONE</w:t>
      </w:r>
    </w:p>
    <w:p w14:paraId="3B048E4C" w14:textId="276D60FD" w:rsidR="004D79B7" w:rsidRPr="00DD1E32" w:rsidRDefault="00157301" w:rsidP="00DD1E32">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b/>
          <w:bCs/>
          <w:color w:val="000000"/>
          <w:sz w:val="20"/>
          <w:szCs w:val="20"/>
        </w:rPr>
      </w:pPr>
      <w:r w:rsidRPr="00157301">
        <w:rPr>
          <w:rFonts w:ascii="Arial" w:eastAsia="Arial" w:hAnsi="Arial" w:cs="Arial"/>
          <w:b/>
          <w:bCs/>
          <w:color w:val="000000"/>
          <w:sz w:val="20"/>
          <w:szCs w:val="20"/>
        </w:rPr>
        <w:t>Definite le modalità e i termini per aderire al ravvedimento speciale CPB 2026-2027</w:t>
      </w:r>
    </w:p>
    <w:p w14:paraId="2EADC737" w14:textId="6B704E91" w:rsidR="00DD1E32" w:rsidRPr="008C7273" w:rsidRDefault="00DD1E32" w:rsidP="00DD1E32">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i/>
          <w:iCs/>
          <w:color w:val="000000"/>
          <w:sz w:val="20"/>
          <w:szCs w:val="20"/>
        </w:rPr>
      </w:pPr>
      <w:r w:rsidRPr="008C7273">
        <w:rPr>
          <w:rFonts w:ascii="Arial" w:eastAsia="Arial" w:hAnsi="Arial" w:cs="Arial"/>
          <w:i/>
          <w:iCs/>
          <w:color w:val="000000"/>
          <w:sz w:val="20"/>
          <w:szCs w:val="20"/>
        </w:rPr>
        <w:t xml:space="preserve">Agenzia delle Entrate, Provvedimento </w:t>
      </w:r>
      <w:r w:rsidR="008C7273" w:rsidRPr="008C7273">
        <w:rPr>
          <w:rFonts w:ascii="Arial" w:eastAsia="Arial" w:hAnsi="Arial" w:cs="Arial"/>
          <w:i/>
          <w:iCs/>
          <w:color w:val="000000"/>
          <w:sz w:val="20"/>
          <w:szCs w:val="20"/>
        </w:rPr>
        <w:t>23 ottobre 2026, n. 296141/2026</w:t>
      </w:r>
    </w:p>
    <w:p w14:paraId="3381AC05" w14:textId="77777777" w:rsidR="00665FFF" w:rsidRDefault="004D79B7" w:rsidP="00DD1E32">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b/>
          <w:bCs/>
          <w:color w:val="000000"/>
          <w:sz w:val="20"/>
          <w:szCs w:val="20"/>
        </w:rPr>
      </w:pPr>
      <w:r w:rsidRPr="00DD1E32">
        <w:rPr>
          <w:rFonts w:ascii="Arial" w:eastAsia="Arial" w:hAnsi="Arial" w:cs="Arial"/>
          <w:color w:val="000000"/>
          <w:sz w:val="20"/>
          <w:szCs w:val="20"/>
        </w:rPr>
        <w:t>Con un</w:t>
      </w:r>
      <w:r w:rsidR="008C7273">
        <w:rPr>
          <w:rFonts w:ascii="Arial" w:eastAsia="Arial" w:hAnsi="Arial" w:cs="Arial"/>
          <w:color w:val="000000"/>
          <w:sz w:val="20"/>
          <w:szCs w:val="20"/>
        </w:rPr>
        <w:t xml:space="preserve"> </w:t>
      </w:r>
      <w:r w:rsidRPr="008C7273">
        <w:rPr>
          <w:rFonts w:ascii="Arial" w:eastAsia="Arial" w:hAnsi="Arial" w:cs="Arial"/>
          <w:sz w:val="20"/>
          <w:szCs w:val="20"/>
        </w:rPr>
        <w:t>provvedimento</w:t>
      </w:r>
      <w:r w:rsidR="008C7273">
        <w:rPr>
          <w:rFonts w:ascii="Arial" w:eastAsia="Arial" w:hAnsi="Arial" w:cs="Arial"/>
          <w:color w:val="000000"/>
          <w:sz w:val="20"/>
          <w:szCs w:val="20"/>
        </w:rPr>
        <w:t xml:space="preserve"> </w:t>
      </w:r>
      <w:r w:rsidRPr="00DD1E32">
        <w:rPr>
          <w:rFonts w:ascii="Arial" w:eastAsia="Arial" w:hAnsi="Arial" w:cs="Arial"/>
          <w:color w:val="000000"/>
          <w:sz w:val="20"/>
          <w:szCs w:val="20"/>
        </w:rPr>
        <w:t xml:space="preserve">del 23 ottobre 2026, il direttore dell’Agenzia </w:t>
      </w:r>
      <w:r w:rsidR="008C7273">
        <w:rPr>
          <w:rFonts w:ascii="Arial" w:eastAsia="Arial" w:hAnsi="Arial" w:cs="Arial"/>
          <w:color w:val="000000"/>
          <w:sz w:val="20"/>
          <w:szCs w:val="20"/>
        </w:rPr>
        <w:t xml:space="preserve">delle </w:t>
      </w:r>
      <w:r w:rsidRPr="00DD1E32">
        <w:rPr>
          <w:rFonts w:ascii="Arial" w:eastAsia="Arial" w:hAnsi="Arial" w:cs="Arial"/>
          <w:color w:val="000000"/>
          <w:sz w:val="20"/>
          <w:szCs w:val="20"/>
        </w:rPr>
        <w:t xml:space="preserve">Entrate ha definito </w:t>
      </w:r>
      <w:r w:rsidRPr="008C7273">
        <w:rPr>
          <w:rFonts w:ascii="Arial" w:eastAsia="Arial" w:hAnsi="Arial" w:cs="Arial"/>
          <w:b/>
          <w:bCs/>
          <w:color w:val="000000"/>
          <w:sz w:val="20"/>
          <w:szCs w:val="20"/>
        </w:rPr>
        <w:t>modalità e termini</w:t>
      </w:r>
      <w:r w:rsidRPr="00DD1E32">
        <w:rPr>
          <w:rFonts w:ascii="Arial" w:eastAsia="Arial" w:hAnsi="Arial" w:cs="Arial"/>
          <w:color w:val="000000"/>
          <w:sz w:val="20"/>
          <w:szCs w:val="20"/>
        </w:rPr>
        <w:t xml:space="preserve"> per accedere al ravvedimento speciale previsto dall’art</w:t>
      </w:r>
      <w:r w:rsidR="008C7273">
        <w:rPr>
          <w:rFonts w:ascii="Arial" w:eastAsia="Arial" w:hAnsi="Arial" w:cs="Arial"/>
          <w:color w:val="000000"/>
          <w:sz w:val="20"/>
          <w:szCs w:val="20"/>
        </w:rPr>
        <w:t>.</w:t>
      </w:r>
      <w:r w:rsidRPr="00DD1E32">
        <w:rPr>
          <w:rFonts w:ascii="Arial" w:eastAsia="Arial" w:hAnsi="Arial" w:cs="Arial"/>
          <w:color w:val="000000"/>
          <w:sz w:val="20"/>
          <w:szCs w:val="20"/>
        </w:rPr>
        <w:t xml:space="preserve"> 29 del D</w:t>
      </w:r>
      <w:r w:rsidR="008C7273">
        <w:rPr>
          <w:rFonts w:ascii="Arial" w:eastAsia="Arial" w:hAnsi="Arial" w:cs="Arial"/>
          <w:color w:val="000000"/>
          <w:sz w:val="20"/>
          <w:szCs w:val="20"/>
        </w:rPr>
        <w:t>.L</w:t>
      </w:r>
      <w:r w:rsidRPr="00DD1E32">
        <w:rPr>
          <w:rFonts w:ascii="Arial" w:eastAsia="Arial" w:hAnsi="Arial" w:cs="Arial"/>
          <w:color w:val="000000"/>
          <w:sz w:val="20"/>
          <w:szCs w:val="20"/>
        </w:rPr>
        <w:t>gs</w:t>
      </w:r>
      <w:r w:rsidR="008C7273">
        <w:rPr>
          <w:rFonts w:ascii="Arial" w:eastAsia="Arial" w:hAnsi="Arial" w:cs="Arial"/>
          <w:color w:val="000000"/>
          <w:sz w:val="20"/>
          <w:szCs w:val="20"/>
        </w:rPr>
        <w:t>.</w:t>
      </w:r>
      <w:r w:rsidRPr="00DD1E32">
        <w:rPr>
          <w:rFonts w:ascii="Arial" w:eastAsia="Arial" w:hAnsi="Arial" w:cs="Arial"/>
          <w:color w:val="000000"/>
          <w:sz w:val="20"/>
          <w:szCs w:val="20"/>
        </w:rPr>
        <w:t xml:space="preserve"> n. 148/2026.</w:t>
      </w:r>
    </w:p>
    <w:p w14:paraId="6AC8D569" w14:textId="48BB7F6D" w:rsidR="004D79B7" w:rsidRPr="00DD1E32" w:rsidRDefault="007E6541" w:rsidP="00DD1E32">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Pr>
          <w:rFonts w:ascii="Arial" w:eastAsia="Arial" w:hAnsi="Arial" w:cs="Arial"/>
          <w:color w:val="000000"/>
          <w:sz w:val="20"/>
          <w:szCs w:val="20"/>
        </w:rPr>
        <w:t>L’is</w:t>
      </w:r>
      <w:r w:rsidR="00665FFF" w:rsidRPr="00631557">
        <w:rPr>
          <w:rFonts w:ascii="Arial" w:eastAsia="Arial" w:hAnsi="Arial" w:cs="Arial"/>
          <w:color w:val="000000"/>
          <w:sz w:val="20"/>
          <w:szCs w:val="20"/>
        </w:rPr>
        <w:t>tituto è riservat</w:t>
      </w:r>
      <w:r w:rsidR="00665FFF" w:rsidRPr="006E1BBB">
        <w:rPr>
          <w:rFonts w:ascii="Arial" w:eastAsia="Arial" w:hAnsi="Arial" w:cs="Arial"/>
          <w:color w:val="000000"/>
          <w:sz w:val="20"/>
          <w:szCs w:val="20"/>
        </w:rPr>
        <w:t>o esclusivamente ai c</w:t>
      </w:r>
      <w:r w:rsidR="00665FFF" w:rsidRPr="00631557">
        <w:rPr>
          <w:rFonts w:ascii="Arial" w:eastAsia="Arial" w:hAnsi="Arial" w:cs="Arial"/>
          <w:color w:val="000000"/>
          <w:sz w:val="20"/>
          <w:szCs w:val="20"/>
        </w:rPr>
        <w:t>ontribuenti che hanno aderito al concordato preventivo biennale (CPB) per il 2024-2025 e che ne</w:t>
      </w:r>
      <w:r>
        <w:rPr>
          <w:rFonts w:ascii="Arial" w:eastAsia="Arial" w:hAnsi="Arial" w:cs="Arial"/>
          <w:color w:val="000000"/>
          <w:sz w:val="20"/>
          <w:szCs w:val="20"/>
        </w:rPr>
        <w:t xml:space="preserve"> hanno</w:t>
      </w:r>
      <w:r w:rsidR="00665FFF">
        <w:rPr>
          <w:rFonts w:ascii="Arial" w:eastAsia="Arial" w:hAnsi="Arial" w:cs="Arial"/>
          <w:color w:val="000000"/>
          <w:sz w:val="20"/>
          <w:szCs w:val="20"/>
        </w:rPr>
        <w:t xml:space="preserve"> </w:t>
      </w:r>
      <w:r w:rsidR="00665FFF" w:rsidRPr="00631557">
        <w:rPr>
          <w:rFonts w:ascii="Arial" w:eastAsia="Arial" w:hAnsi="Arial" w:cs="Arial"/>
          <w:b/>
          <w:bCs/>
          <w:color w:val="000000"/>
          <w:sz w:val="20"/>
          <w:szCs w:val="20"/>
        </w:rPr>
        <w:t>rinnova</w:t>
      </w:r>
      <w:r>
        <w:rPr>
          <w:rFonts w:ascii="Arial" w:eastAsia="Arial" w:hAnsi="Arial" w:cs="Arial"/>
          <w:b/>
          <w:bCs/>
          <w:color w:val="000000"/>
          <w:sz w:val="20"/>
          <w:szCs w:val="20"/>
        </w:rPr>
        <w:t>to</w:t>
      </w:r>
      <w:r w:rsidR="00665FFF" w:rsidRPr="00631557">
        <w:rPr>
          <w:rFonts w:ascii="Arial" w:eastAsia="Arial" w:hAnsi="Arial" w:cs="Arial"/>
          <w:b/>
          <w:bCs/>
          <w:color w:val="000000"/>
          <w:sz w:val="20"/>
          <w:szCs w:val="20"/>
        </w:rPr>
        <w:t xml:space="preserve"> l'adesione per il biennio 2026-2027</w:t>
      </w:r>
      <w:r w:rsidR="00665FFF" w:rsidRPr="00631557">
        <w:rPr>
          <w:rFonts w:ascii="Arial" w:eastAsia="Arial" w:hAnsi="Arial" w:cs="Arial"/>
          <w:color w:val="000000"/>
          <w:sz w:val="20"/>
          <w:szCs w:val="20"/>
        </w:rPr>
        <w:t>. Non è pertanto accessibile a chi aderisce al CPB per la prima volta. Rientrano nella misura i soggetti ISA, chi ha dichiarato cause di esclusione legate al Covid-19, chi ha segnalato un non normale svolgimento dell'attività e gli operatori con ricavi "fuori ISA" superiori al 30%</w:t>
      </w:r>
    </w:p>
    <w:p w14:paraId="6A5CF59A" w14:textId="77777777" w:rsidR="00AE2F3A" w:rsidRPr="00DD1E32" w:rsidRDefault="00AE2F3A" w:rsidP="00DD1E32">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614AD74D" w14:textId="77777777" w:rsidR="008C7273" w:rsidRPr="00062B15" w:rsidRDefault="008C7273" w:rsidP="008C7273">
      <w:pPr>
        <w:shd w:val="clear" w:color="auto" w:fill="FFFFFF"/>
        <w:overflowPunct w:val="0"/>
        <w:autoSpaceDE w:val="0"/>
        <w:autoSpaceDN w:val="0"/>
        <w:adjustRightInd w:val="0"/>
        <w:spacing w:line="300" w:lineRule="atLeast"/>
        <w:ind w:left="0" w:hanging="2"/>
        <w:jc w:val="both"/>
        <w:textAlignment w:val="baseline"/>
        <w:rPr>
          <w:rFonts w:ascii="Arial" w:hAnsi="Arial" w:cs="Arial"/>
          <w:i/>
          <w:color w:val="0F0F0F"/>
          <w:sz w:val="20"/>
          <w:szCs w:val="20"/>
        </w:rPr>
      </w:pPr>
      <w:r w:rsidRPr="00062B15">
        <w:rPr>
          <w:rFonts w:ascii="Arial" w:hAnsi="Arial" w:cs="Arial"/>
          <w:i/>
          <w:color w:val="0F0F0F"/>
          <w:sz w:val="20"/>
          <w:szCs w:val="20"/>
        </w:rPr>
        <w:t>Vedi l’Approfondimento</w:t>
      </w:r>
    </w:p>
    <w:p w14:paraId="2C45D526" w14:textId="77777777" w:rsidR="00374496" w:rsidRPr="00DD1E32" w:rsidRDefault="00374496" w:rsidP="00DD1E32">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72897047" w14:textId="77777777" w:rsidR="00EE0D15" w:rsidRPr="00DD1E32" w:rsidRDefault="00EE0D15" w:rsidP="00DD1E32">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i/>
          <w:color w:val="000000"/>
          <w:sz w:val="20"/>
          <w:szCs w:val="20"/>
        </w:rPr>
      </w:pPr>
    </w:p>
    <w:p w14:paraId="6B184FF4" w14:textId="0C41B1A7" w:rsidR="00374496" w:rsidRPr="008C7273" w:rsidRDefault="008C7273" w:rsidP="008C7273">
      <w:pPr>
        <w:shd w:val="clear" w:color="auto" w:fill="FFFFFF"/>
        <w:overflowPunct w:val="0"/>
        <w:autoSpaceDE w:val="0"/>
        <w:autoSpaceDN w:val="0"/>
        <w:adjustRightInd w:val="0"/>
        <w:spacing w:line="300" w:lineRule="atLeast"/>
        <w:ind w:left="0" w:hanging="2"/>
        <w:jc w:val="both"/>
        <w:textAlignment w:val="baseline"/>
        <w:rPr>
          <w:rFonts w:ascii="Calibri" w:eastAsia="Aptos" w:hAnsi="Calibri" w:cs="Arial"/>
          <w:color w:val="0F0F0F"/>
          <w:kern w:val="2"/>
          <w:sz w:val="22"/>
          <w:szCs w:val="22"/>
          <w:lang w:eastAsia="en-US"/>
        </w:rPr>
      </w:pPr>
      <w:r w:rsidRPr="008C7273">
        <w:rPr>
          <w:rFonts w:ascii="Calibri" w:eastAsia="Aptos" w:hAnsi="Calibri" w:cs="Arial"/>
          <w:color w:val="0F0F0F"/>
          <w:kern w:val="2"/>
          <w:sz w:val="22"/>
          <w:szCs w:val="22"/>
          <w:lang w:eastAsia="en-US"/>
        </w:rPr>
        <w:t>REGIMI AGEVOLATI</w:t>
      </w:r>
    </w:p>
    <w:p w14:paraId="33A9DE98" w14:textId="4CFC0011" w:rsidR="005C3EF3" w:rsidRPr="008C7273" w:rsidRDefault="005C3EF3" w:rsidP="008C7273">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b/>
          <w:bCs/>
          <w:color w:val="000000"/>
          <w:sz w:val="20"/>
          <w:szCs w:val="20"/>
        </w:rPr>
      </w:pPr>
      <w:r w:rsidRPr="005E69C5">
        <w:rPr>
          <w:rFonts w:ascii="Arial" w:eastAsia="Arial" w:hAnsi="Arial" w:cs="Arial"/>
          <w:b/>
          <w:bCs/>
          <w:color w:val="000000"/>
          <w:sz w:val="20"/>
          <w:szCs w:val="20"/>
        </w:rPr>
        <w:t>Manovra 2027: il regime forfetario verso la soglia dei 100.000 euro, ma con obbligo IVA oltre gli 85.000</w:t>
      </w:r>
    </w:p>
    <w:p w14:paraId="7DA47884" w14:textId="28EAD79F" w:rsidR="008C7273" w:rsidRPr="008C7273" w:rsidRDefault="008C7273" w:rsidP="008C7273">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i/>
          <w:iCs/>
          <w:color w:val="000000"/>
          <w:sz w:val="20"/>
          <w:szCs w:val="20"/>
        </w:rPr>
      </w:pPr>
      <w:r w:rsidRPr="008C7273">
        <w:rPr>
          <w:rFonts w:ascii="Arial" w:eastAsia="Arial" w:hAnsi="Arial" w:cs="Arial"/>
          <w:i/>
          <w:iCs/>
          <w:color w:val="000000"/>
          <w:sz w:val="20"/>
          <w:szCs w:val="20"/>
        </w:rPr>
        <w:t>Ddl Bilancio 2027</w:t>
      </w:r>
    </w:p>
    <w:p w14:paraId="6185F466" w14:textId="1E14BE10" w:rsidR="005C3EF3" w:rsidRPr="008C7273" w:rsidRDefault="005C3EF3" w:rsidP="008C7273">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C7273">
        <w:rPr>
          <w:rFonts w:ascii="Arial" w:eastAsia="Arial" w:hAnsi="Arial" w:cs="Arial"/>
          <w:color w:val="000000"/>
          <w:sz w:val="20"/>
          <w:szCs w:val="20"/>
        </w:rPr>
        <w:t xml:space="preserve">La </w:t>
      </w:r>
      <w:r w:rsidR="005E69C5">
        <w:rPr>
          <w:rFonts w:ascii="Arial" w:eastAsia="Arial" w:hAnsi="Arial" w:cs="Arial"/>
          <w:color w:val="000000"/>
          <w:sz w:val="20"/>
          <w:szCs w:val="20"/>
        </w:rPr>
        <w:t>l</w:t>
      </w:r>
      <w:r w:rsidRPr="008C7273">
        <w:rPr>
          <w:rFonts w:ascii="Arial" w:eastAsia="Arial" w:hAnsi="Arial" w:cs="Arial"/>
          <w:color w:val="000000"/>
          <w:sz w:val="20"/>
          <w:szCs w:val="20"/>
        </w:rPr>
        <w:t>egge di Bilancio 2027 si appresta a introdurre una novità di rilievo per le partite IVA individuali, delineando un ampliamento del regime forfetario.</w:t>
      </w:r>
      <w:r w:rsidR="005E69C5">
        <w:rPr>
          <w:rFonts w:ascii="Arial" w:eastAsia="Arial" w:hAnsi="Arial" w:cs="Arial"/>
          <w:color w:val="000000"/>
          <w:sz w:val="20"/>
          <w:szCs w:val="20"/>
        </w:rPr>
        <w:t xml:space="preserve"> </w:t>
      </w:r>
      <w:r w:rsidRPr="008C7273">
        <w:rPr>
          <w:rFonts w:ascii="Arial" w:eastAsia="Arial" w:hAnsi="Arial" w:cs="Arial"/>
          <w:color w:val="000000"/>
          <w:sz w:val="20"/>
          <w:szCs w:val="20"/>
        </w:rPr>
        <w:t xml:space="preserve">Secondo le indicazioni contenute nel </w:t>
      </w:r>
      <w:r w:rsidR="005E69C5">
        <w:rPr>
          <w:rFonts w:ascii="Arial" w:eastAsia="Arial" w:hAnsi="Arial" w:cs="Arial"/>
          <w:color w:val="000000"/>
          <w:sz w:val="20"/>
          <w:szCs w:val="20"/>
        </w:rPr>
        <w:t>d</w:t>
      </w:r>
      <w:r w:rsidRPr="008C7273">
        <w:rPr>
          <w:rFonts w:ascii="Arial" w:eastAsia="Arial" w:hAnsi="Arial" w:cs="Arial"/>
          <w:color w:val="000000"/>
          <w:sz w:val="20"/>
          <w:szCs w:val="20"/>
        </w:rPr>
        <w:t xml:space="preserve">isegno di </w:t>
      </w:r>
      <w:r w:rsidR="005E69C5">
        <w:rPr>
          <w:rFonts w:ascii="Arial" w:eastAsia="Arial" w:hAnsi="Arial" w:cs="Arial"/>
          <w:color w:val="000000"/>
          <w:sz w:val="20"/>
          <w:szCs w:val="20"/>
        </w:rPr>
        <w:t>l</w:t>
      </w:r>
      <w:r w:rsidRPr="008C7273">
        <w:rPr>
          <w:rFonts w:ascii="Arial" w:eastAsia="Arial" w:hAnsi="Arial" w:cs="Arial"/>
          <w:color w:val="000000"/>
          <w:sz w:val="20"/>
          <w:szCs w:val="20"/>
        </w:rPr>
        <w:t>egge</w:t>
      </w:r>
      <w:r w:rsidR="005E69C5" w:rsidRPr="005E69C5">
        <w:rPr>
          <w:rFonts w:ascii="Arial" w:eastAsia="Arial" w:hAnsi="Arial" w:cs="Arial"/>
          <w:color w:val="000000"/>
          <w:sz w:val="20"/>
          <w:szCs w:val="20"/>
        </w:rPr>
        <w:t xml:space="preserve"> </w:t>
      </w:r>
      <w:r w:rsidR="005E69C5">
        <w:rPr>
          <w:rFonts w:ascii="Arial" w:eastAsia="Arial" w:hAnsi="Arial" w:cs="Arial"/>
          <w:color w:val="000000"/>
          <w:sz w:val="20"/>
          <w:szCs w:val="20"/>
        </w:rPr>
        <w:t xml:space="preserve">approvato dal Consiglio dei Ministri del 28 ottobre 2026 e </w:t>
      </w:r>
      <w:r w:rsidR="005E69C5" w:rsidRPr="005E69C5">
        <w:rPr>
          <w:rFonts w:ascii="Arial" w:eastAsia="Arial" w:hAnsi="Arial" w:cs="Arial"/>
          <w:color w:val="000000"/>
          <w:sz w:val="20"/>
          <w:szCs w:val="20"/>
        </w:rPr>
        <w:t>trasmesso alla Camera per l'avvio dell'iter di approvazione</w:t>
      </w:r>
      <w:r w:rsidRPr="008C7273">
        <w:rPr>
          <w:rFonts w:ascii="Arial" w:eastAsia="Arial" w:hAnsi="Arial" w:cs="Arial"/>
          <w:color w:val="000000"/>
          <w:sz w:val="20"/>
          <w:szCs w:val="20"/>
        </w:rPr>
        <w:t>, la soglia massima di ricavi e compensi per accedere e permanere nel regime agevolato è destinata a salire dagli attuali 85.000 euro a 100.000 euro.</w:t>
      </w:r>
    </w:p>
    <w:p w14:paraId="6AFDE337" w14:textId="77777777" w:rsidR="005C3EF3" w:rsidRPr="008C7273" w:rsidRDefault="005C3EF3" w:rsidP="008C7273">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C7273">
        <w:rPr>
          <w:rFonts w:ascii="Arial" w:eastAsia="Arial" w:hAnsi="Arial" w:cs="Arial"/>
          <w:color w:val="000000"/>
          <w:sz w:val="20"/>
          <w:szCs w:val="20"/>
        </w:rPr>
        <w:t>Per rispettare i vincoli imposti dalle direttive europee, l'intervento legislativo si articolerà su un inedito "doppio binario" fiscale:</w:t>
      </w:r>
    </w:p>
    <w:p w14:paraId="29029FFB" w14:textId="5320BB82" w:rsidR="005C3EF3" w:rsidRPr="005E69C5" w:rsidRDefault="005C3EF3" w:rsidP="00465C43">
      <w:pPr>
        <w:pStyle w:val="Paragrafoelenco"/>
        <w:numPr>
          <w:ilvl w:val="0"/>
          <w:numId w:val="4"/>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5E69C5">
        <w:rPr>
          <w:rFonts w:ascii="Arial" w:eastAsia="Arial" w:hAnsi="Arial" w:cs="Arial"/>
          <w:b/>
          <w:bCs/>
          <w:color w:val="000000"/>
          <w:sz w:val="20"/>
          <w:szCs w:val="20"/>
        </w:rPr>
        <w:t>fino a 85.000 euro di compensi</w:t>
      </w:r>
      <w:r w:rsidRPr="005E69C5">
        <w:rPr>
          <w:rFonts w:ascii="Arial" w:eastAsia="Arial" w:hAnsi="Arial" w:cs="Arial"/>
          <w:color w:val="000000"/>
          <w:sz w:val="20"/>
          <w:szCs w:val="20"/>
        </w:rPr>
        <w:t xml:space="preserve"> verrebbe mantenuto l'assetto attuale.</w:t>
      </w:r>
      <w:r w:rsidR="005E69C5">
        <w:rPr>
          <w:rFonts w:ascii="Arial" w:eastAsia="Arial" w:hAnsi="Arial" w:cs="Arial"/>
          <w:color w:val="000000"/>
          <w:sz w:val="20"/>
          <w:szCs w:val="20"/>
        </w:rPr>
        <w:t xml:space="preserve"> </w:t>
      </w:r>
      <w:r w:rsidRPr="005E69C5">
        <w:rPr>
          <w:rFonts w:ascii="Arial" w:eastAsia="Arial" w:hAnsi="Arial" w:cs="Arial"/>
          <w:color w:val="000000"/>
          <w:sz w:val="20"/>
          <w:szCs w:val="20"/>
        </w:rPr>
        <w:t>Il professionista o l'impresa beneficerebbe dell'imposta sostitutiva (al 15% ordinario o al 5% per le start</w:t>
      </w:r>
      <w:r w:rsidR="005E69C5">
        <w:rPr>
          <w:rFonts w:ascii="Arial" w:eastAsia="Arial" w:hAnsi="Arial" w:cs="Arial"/>
          <w:color w:val="000000"/>
          <w:sz w:val="20"/>
          <w:szCs w:val="20"/>
        </w:rPr>
        <w:t xml:space="preserve"> </w:t>
      </w:r>
      <w:r w:rsidRPr="005E69C5">
        <w:rPr>
          <w:rFonts w:ascii="Arial" w:eastAsia="Arial" w:hAnsi="Arial" w:cs="Arial"/>
          <w:color w:val="000000"/>
          <w:sz w:val="20"/>
          <w:szCs w:val="20"/>
        </w:rPr>
        <w:t>up) mantenendo il totale esonero dall'applicazione dell'IVA in fattura e dai relativi adempimenti</w:t>
      </w:r>
      <w:r w:rsidR="005E69C5">
        <w:rPr>
          <w:rFonts w:ascii="Arial" w:eastAsia="Arial" w:hAnsi="Arial" w:cs="Arial"/>
          <w:color w:val="000000"/>
          <w:sz w:val="20"/>
          <w:szCs w:val="20"/>
        </w:rPr>
        <w:t>;</w:t>
      </w:r>
    </w:p>
    <w:p w14:paraId="64C02258" w14:textId="3B82326B" w:rsidR="005C3EF3" w:rsidRPr="005E69C5" w:rsidRDefault="005C3EF3" w:rsidP="00465C43">
      <w:pPr>
        <w:pStyle w:val="Paragrafoelenco"/>
        <w:numPr>
          <w:ilvl w:val="0"/>
          <w:numId w:val="4"/>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5E69C5">
        <w:rPr>
          <w:rFonts w:ascii="Arial" w:eastAsia="Arial" w:hAnsi="Arial" w:cs="Arial"/>
          <w:b/>
          <w:bCs/>
          <w:color w:val="000000"/>
          <w:sz w:val="20"/>
          <w:szCs w:val="20"/>
        </w:rPr>
        <w:lastRenderedPageBreak/>
        <w:t>tra 85.001 e 100.000 euro di compensi</w:t>
      </w:r>
      <w:r w:rsidRPr="005E69C5">
        <w:rPr>
          <w:rFonts w:ascii="Arial" w:eastAsia="Arial" w:hAnsi="Arial" w:cs="Arial"/>
          <w:color w:val="000000"/>
          <w:sz w:val="20"/>
          <w:szCs w:val="20"/>
        </w:rPr>
        <w:t xml:space="preserve"> i contribuenti continuerebbero ad applicare la</w:t>
      </w:r>
      <w:r w:rsidR="005E69C5">
        <w:rPr>
          <w:rFonts w:ascii="Arial" w:eastAsia="Arial" w:hAnsi="Arial" w:cs="Arial"/>
          <w:color w:val="000000"/>
          <w:sz w:val="20"/>
          <w:szCs w:val="20"/>
        </w:rPr>
        <w:t xml:space="preserve"> </w:t>
      </w:r>
      <w:r w:rsidRPr="005E69C5">
        <w:rPr>
          <w:rFonts w:ascii="Arial" w:eastAsia="Arial" w:hAnsi="Arial" w:cs="Arial"/>
          <w:i/>
          <w:iCs/>
          <w:color w:val="000000"/>
          <w:sz w:val="20"/>
          <w:szCs w:val="20"/>
        </w:rPr>
        <w:t>flat tax</w:t>
      </w:r>
      <w:r w:rsidR="005E69C5">
        <w:rPr>
          <w:rFonts w:ascii="Arial" w:eastAsia="Arial" w:hAnsi="Arial" w:cs="Arial"/>
          <w:color w:val="000000"/>
          <w:sz w:val="20"/>
          <w:szCs w:val="20"/>
        </w:rPr>
        <w:t xml:space="preserve"> </w:t>
      </w:r>
      <w:r w:rsidRPr="005E69C5">
        <w:rPr>
          <w:rFonts w:ascii="Arial" w:eastAsia="Arial" w:hAnsi="Arial" w:cs="Arial"/>
          <w:color w:val="000000"/>
          <w:sz w:val="20"/>
          <w:szCs w:val="20"/>
        </w:rPr>
        <w:t>per quanto concerne le imposte sul reddito, ma rientrerebbero nel regime ordinario ai fini IVA.</w:t>
      </w:r>
      <w:r w:rsidR="005E69C5">
        <w:rPr>
          <w:rFonts w:ascii="Arial" w:eastAsia="Arial" w:hAnsi="Arial" w:cs="Arial"/>
          <w:color w:val="000000"/>
          <w:sz w:val="20"/>
          <w:szCs w:val="20"/>
        </w:rPr>
        <w:t xml:space="preserve"> </w:t>
      </w:r>
      <w:r w:rsidRPr="005E69C5">
        <w:rPr>
          <w:rFonts w:ascii="Arial" w:eastAsia="Arial" w:hAnsi="Arial" w:cs="Arial"/>
          <w:color w:val="000000"/>
          <w:sz w:val="20"/>
          <w:szCs w:val="20"/>
        </w:rPr>
        <w:t>Ciò comporterebbe l'obbligo di addebitare l'imposta sulle fatture emesse, procedere alle liquidazioni periodiche e presentare la dichiarazione IVA annuale.</w:t>
      </w:r>
    </w:p>
    <w:p w14:paraId="39F272B8" w14:textId="5C9930D8" w:rsidR="005C3EF3" w:rsidRPr="008C7273" w:rsidRDefault="005C3EF3" w:rsidP="008C7273">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C7273">
        <w:rPr>
          <w:rFonts w:ascii="Arial" w:eastAsia="Arial" w:hAnsi="Arial" w:cs="Arial"/>
          <w:color w:val="000000"/>
          <w:sz w:val="20"/>
          <w:szCs w:val="20"/>
        </w:rPr>
        <w:t>È doveroso precisare che, al momento,</w:t>
      </w:r>
      <w:r w:rsidR="005E69C5">
        <w:rPr>
          <w:rFonts w:ascii="Arial" w:eastAsia="Arial" w:hAnsi="Arial" w:cs="Arial"/>
          <w:color w:val="000000"/>
          <w:sz w:val="20"/>
          <w:szCs w:val="20"/>
        </w:rPr>
        <w:t xml:space="preserve"> </w:t>
      </w:r>
      <w:r w:rsidRPr="008C7273">
        <w:rPr>
          <w:rFonts w:ascii="Arial" w:eastAsia="Arial" w:hAnsi="Arial" w:cs="Arial"/>
          <w:b/>
          <w:bCs/>
          <w:color w:val="000000"/>
          <w:sz w:val="20"/>
          <w:szCs w:val="20"/>
        </w:rPr>
        <w:t>non vi è ancora alcuna certezza formale</w:t>
      </w:r>
      <w:r w:rsidR="005E69C5">
        <w:rPr>
          <w:rFonts w:ascii="Arial" w:eastAsia="Arial" w:hAnsi="Arial" w:cs="Arial"/>
          <w:color w:val="000000"/>
          <w:sz w:val="20"/>
          <w:szCs w:val="20"/>
        </w:rPr>
        <w:t xml:space="preserve"> </w:t>
      </w:r>
      <w:r w:rsidRPr="008C7273">
        <w:rPr>
          <w:rFonts w:ascii="Arial" w:eastAsia="Arial" w:hAnsi="Arial" w:cs="Arial"/>
          <w:color w:val="000000"/>
          <w:sz w:val="20"/>
          <w:szCs w:val="20"/>
        </w:rPr>
        <w:t>sulle nuove regole.</w:t>
      </w:r>
      <w:r w:rsidR="005E69C5">
        <w:rPr>
          <w:rFonts w:ascii="Arial" w:eastAsia="Arial" w:hAnsi="Arial" w:cs="Arial"/>
          <w:color w:val="000000"/>
          <w:sz w:val="20"/>
          <w:szCs w:val="20"/>
        </w:rPr>
        <w:t xml:space="preserve"> </w:t>
      </w:r>
      <w:r w:rsidRPr="008C7273">
        <w:rPr>
          <w:rFonts w:ascii="Arial" w:eastAsia="Arial" w:hAnsi="Arial" w:cs="Arial"/>
          <w:color w:val="000000"/>
          <w:sz w:val="20"/>
          <w:szCs w:val="20"/>
        </w:rPr>
        <w:t>Il testo della Manovra deve ancora affrontare l'intero iter parlamentare (conclusione prevista entro la fine dell'anno) e il meccanismo necessita del via libera definitivo da parte delle istituzioni di Bruxelles.</w:t>
      </w:r>
    </w:p>
    <w:p w14:paraId="2527D423" w14:textId="4FCB9681" w:rsidR="005C3EF3" w:rsidRPr="008C7273" w:rsidRDefault="005C3EF3" w:rsidP="008C7273">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C7273">
        <w:rPr>
          <w:rFonts w:ascii="Arial" w:eastAsia="Arial" w:hAnsi="Arial" w:cs="Arial"/>
          <w:color w:val="000000"/>
          <w:sz w:val="20"/>
          <w:szCs w:val="20"/>
        </w:rPr>
        <w:t>Ogni eventuale modifica legislativa, in ogni caso,</w:t>
      </w:r>
      <w:r w:rsidR="005E69C5">
        <w:rPr>
          <w:rFonts w:ascii="Arial" w:eastAsia="Arial" w:hAnsi="Arial" w:cs="Arial"/>
          <w:color w:val="000000"/>
          <w:sz w:val="20"/>
          <w:szCs w:val="20"/>
        </w:rPr>
        <w:t xml:space="preserve"> </w:t>
      </w:r>
      <w:r w:rsidRPr="008C7273">
        <w:rPr>
          <w:rFonts w:ascii="Arial" w:eastAsia="Arial" w:hAnsi="Arial" w:cs="Arial"/>
          <w:b/>
          <w:bCs/>
          <w:color w:val="000000"/>
          <w:sz w:val="20"/>
          <w:szCs w:val="20"/>
        </w:rPr>
        <w:t>entrerà in vigore esclusivamente a partire dal 1° gennaio 2027</w:t>
      </w:r>
      <w:r w:rsidRPr="008C7273">
        <w:rPr>
          <w:rFonts w:ascii="Arial" w:eastAsia="Arial" w:hAnsi="Arial" w:cs="Arial"/>
          <w:color w:val="000000"/>
          <w:sz w:val="20"/>
          <w:szCs w:val="20"/>
        </w:rPr>
        <w:t>.</w:t>
      </w:r>
    </w:p>
    <w:p w14:paraId="5DD23EFE" w14:textId="1E2EA571" w:rsidR="005C3EF3" w:rsidRPr="008C7273" w:rsidRDefault="005C3EF3" w:rsidP="005E69C5">
      <w:pPr>
        <w:pBdr>
          <w:top w:val="nil"/>
          <w:left w:val="nil"/>
          <w:bottom w:val="nil"/>
          <w:right w:val="nil"/>
          <w:between w:val="nil"/>
        </w:pBdr>
        <w:tabs>
          <w:tab w:val="left" w:pos="2160"/>
          <w:tab w:val="left" w:pos="3168"/>
          <w:tab w:val="left" w:pos="4838"/>
        </w:tabs>
        <w:spacing w:line="300" w:lineRule="atLeast"/>
        <w:ind w:leftChars="0" w:left="0" w:firstLineChars="0" w:firstLine="0"/>
        <w:jc w:val="both"/>
        <w:rPr>
          <w:rFonts w:ascii="Arial" w:eastAsia="Arial" w:hAnsi="Arial" w:cs="Arial"/>
          <w:color w:val="000000"/>
          <w:sz w:val="20"/>
          <w:szCs w:val="20"/>
        </w:rPr>
      </w:pPr>
      <w:r w:rsidRPr="008C7273">
        <w:rPr>
          <w:rFonts w:ascii="Arial" w:eastAsia="Arial" w:hAnsi="Arial" w:cs="Arial"/>
          <w:color w:val="000000"/>
          <w:sz w:val="20"/>
          <w:szCs w:val="20"/>
        </w:rPr>
        <w:t>Nonostante l'applicazione sia rinviata al nuovo anno, è di estrema importanza tenere in seria considerazione questi potenziali scenari in un'ottica di</w:t>
      </w:r>
      <w:r w:rsidR="005E69C5">
        <w:rPr>
          <w:rFonts w:ascii="Arial" w:eastAsia="Arial" w:hAnsi="Arial" w:cs="Arial"/>
          <w:color w:val="000000"/>
          <w:sz w:val="20"/>
          <w:szCs w:val="20"/>
        </w:rPr>
        <w:t xml:space="preserve"> </w:t>
      </w:r>
      <w:r w:rsidRPr="008C7273">
        <w:rPr>
          <w:rFonts w:ascii="Arial" w:eastAsia="Arial" w:hAnsi="Arial" w:cs="Arial"/>
          <w:b/>
          <w:bCs/>
          <w:color w:val="000000"/>
          <w:sz w:val="20"/>
          <w:szCs w:val="20"/>
        </w:rPr>
        <w:t>pianificazione fiscale e verifica dei limiti in chiusura del 2026</w:t>
      </w:r>
      <w:r w:rsidRPr="008C7273">
        <w:rPr>
          <w:rFonts w:ascii="Arial" w:eastAsia="Arial" w:hAnsi="Arial" w:cs="Arial"/>
          <w:color w:val="000000"/>
          <w:sz w:val="20"/>
          <w:szCs w:val="20"/>
        </w:rPr>
        <w:t>.</w:t>
      </w:r>
    </w:p>
    <w:p w14:paraId="65C77E1F" w14:textId="1D77AAC8" w:rsidR="005C3EF3" w:rsidRPr="008C7273" w:rsidRDefault="005C3EF3" w:rsidP="008C7273">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C7273">
        <w:rPr>
          <w:rFonts w:ascii="Arial" w:eastAsia="Arial" w:hAnsi="Arial" w:cs="Arial"/>
          <w:color w:val="000000"/>
          <w:sz w:val="20"/>
          <w:szCs w:val="20"/>
        </w:rPr>
        <w:t>Poiché</w:t>
      </w:r>
      <w:r w:rsidR="00046476">
        <w:rPr>
          <w:rFonts w:ascii="Arial" w:eastAsia="Arial" w:hAnsi="Arial" w:cs="Arial"/>
          <w:color w:val="000000"/>
          <w:sz w:val="20"/>
          <w:szCs w:val="20"/>
        </w:rPr>
        <w:t xml:space="preserve"> </w:t>
      </w:r>
      <w:r w:rsidRPr="008C7273">
        <w:rPr>
          <w:rFonts w:ascii="Arial" w:eastAsia="Arial" w:hAnsi="Arial" w:cs="Arial"/>
          <w:b/>
          <w:bCs/>
          <w:color w:val="000000"/>
          <w:sz w:val="20"/>
          <w:szCs w:val="20"/>
        </w:rPr>
        <w:t>la permanenza nel regime forfetario si basa sul principio di cassa</w:t>
      </w:r>
      <w:r w:rsidRPr="008C7273">
        <w:rPr>
          <w:rFonts w:ascii="Arial" w:eastAsia="Arial" w:hAnsi="Arial" w:cs="Arial"/>
          <w:color w:val="000000"/>
          <w:sz w:val="20"/>
          <w:szCs w:val="20"/>
        </w:rPr>
        <w:t>, il volume degli incassi effettivamente percepiti entro il 31 dicembre 2026 rappresenterà il parametro fondamentale per determinare il proprio inquadramento nel 2027. Un'attenta gestione delle ultime fatturazioni dell'anno risulterà decisiva: il superamento della soglia degli 85.000 euro (ma non dei 100.000) incassati nel 2026, alla luce della nuova Manovra, non comporterebbe più l'uscita totale dal regime nel 2027, bensì una permanenza mista che richiederà un tempestivo adeguamento amministrativo per gestire la fatturazione elettronica con IVA.</w:t>
      </w:r>
    </w:p>
    <w:p w14:paraId="5EA12F48" w14:textId="77777777" w:rsidR="00F42277" w:rsidRPr="008C7273" w:rsidRDefault="00F42277" w:rsidP="008C7273">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540531BF" w14:textId="77777777" w:rsidR="00F42277" w:rsidRPr="008C7273" w:rsidRDefault="00F42277" w:rsidP="008C7273">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08C84A4F" w14:textId="77777777" w:rsidR="0075278C" w:rsidRPr="00DD1E32" w:rsidRDefault="0075278C" w:rsidP="0075278C">
      <w:pPr>
        <w:shd w:val="clear" w:color="auto" w:fill="FFFFFF"/>
        <w:overflowPunct w:val="0"/>
        <w:autoSpaceDE w:val="0"/>
        <w:autoSpaceDN w:val="0"/>
        <w:adjustRightInd w:val="0"/>
        <w:spacing w:line="300" w:lineRule="atLeast"/>
        <w:ind w:left="0" w:hanging="2"/>
        <w:jc w:val="both"/>
        <w:textAlignment w:val="baseline"/>
        <w:rPr>
          <w:rFonts w:ascii="Calibri" w:eastAsia="Aptos" w:hAnsi="Calibri" w:cs="Arial"/>
          <w:color w:val="0F0F0F"/>
          <w:kern w:val="2"/>
          <w:sz w:val="22"/>
          <w:szCs w:val="22"/>
          <w:lang w:eastAsia="en-US"/>
        </w:rPr>
      </w:pPr>
      <w:r w:rsidRPr="00DD1E32">
        <w:rPr>
          <w:rFonts w:ascii="Calibri" w:eastAsia="Aptos" w:hAnsi="Calibri" w:cs="Arial"/>
          <w:color w:val="0F0F0F"/>
          <w:kern w:val="2"/>
          <w:sz w:val="22"/>
          <w:szCs w:val="22"/>
          <w:lang w:eastAsia="en-US"/>
        </w:rPr>
        <w:t>ACCERTAMENTO E RISCOSSIONE</w:t>
      </w:r>
    </w:p>
    <w:p w14:paraId="78CCDCF5" w14:textId="4681045B" w:rsidR="00F42277" w:rsidRPr="00046476" w:rsidRDefault="00944B25" w:rsidP="0075278C">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b/>
          <w:bCs/>
          <w:color w:val="000000"/>
          <w:sz w:val="20"/>
          <w:szCs w:val="20"/>
        </w:rPr>
      </w:pPr>
      <w:r>
        <w:rPr>
          <w:rFonts w:ascii="Arial" w:eastAsia="Arial" w:hAnsi="Arial" w:cs="Arial"/>
          <w:b/>
          <w:bCs/>
          <w:color w:val="000000"/>
          <w:sz w:val="20"/>
          <w:szCs w:val="20"/>
        </w:rPr>
        <w:t>Istituiti i codici tributo per r</w:t>
      </w:r>
      <w:r w:rsidR="00F42277" w:rsidRPr="0075278C">
        <w:rPr>
          <w:rFonts w:ascii="Arial" w:eastAsia="Arial" w:hAnsi="Arial" w:cs="Arial"/>
          <w:b/>
          <w:bCs/>
          <w:color w:val="000000"/>
          <w:sz w:val="20"/>
          <w:szCs w:val="20"/>
        </w:rPr>
        <w:t>avvedimento operoso e cumulo giuridico</w:t>
      </w:r>
    </w:p>
    <w:p w14:paraId="4C71DADD" w14:textId="58DE9447" w:rsidR="0075278C" w:rsidRPr="0075278C" w:rsidRDefault="0075278C" w:rsidP="0075278C">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i/>
          <w:iCs/>
          <w:color w:val="000000"/>
          <w:sz w:val="20"/>
          <w:szCs w:val="20"/>
        </w:rPr>
      </w:pPr>
      <w:r w:rsidRPr="0075278C">
        <w:rPr>
          <w:rFonts w:ascii="Arial" w:eastAsia="Arial" w:hAnsi="Arial" w:cs="Arial"/>
          <w:i/>
          <w:iCs/>
          <w:color w:val="000000"/>
          <w:sz w:val="20"/>
          <w:szCs w:val="20"/>
        </w:rPr>
        <w:t>Agenzia delle Entrate, Risoluzione 23 ottobre 2026, n. 38/E</w:t>
      </w:r>
    </w:p>
    <w:p w14:paraId="7046E9D4" w14:textId="3D1695FA" w:rsidR="00F42277" w:rsidRPr="0075278C" w:rsidRDefault="00F42277" w:rsidP="0075278C">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046476">
        <w:rPr>
          <w:rFonts w:ascii="Arial" w:eastAsia="Arial" w:hAnsi="Arial" w:cs="Arial"/>
          <w:color w:val="000000"/>
          <w:sz w:val="20"/>
          <w:szCs w:val="20"/>
        </w:rPr>
        <w:t>Con</w:t>
      </w:r>
      <w:r w:rsidRPr="0075278C">
        <w:rPr>
          <w:rFonts w:ascii="Arial" w:eastAsia="Arial" w:hAnsi="Arial" w:cs="Arial"/>
          <w:color w:val="000000"/>
          <w:sz w:val="20"/>
          <w:szCs w:val="20"/>
        </w:rPr>
        <w:t xml:space="preserve"> la</w:t>
      </w:r>
      <w:r w:rsidR="0075278C">
        <w:rPr>
          <w:rFonts w:ascii="Arial" w:eastAsia="Arial" w:hAnsi="Arial" w:cs="Arial"/>
          <w:color w:val="000000"/>
          <w:sz w:val="20"/>
          <w:szCs w:val="20"/>
        </w:rPr>
        <w:t xml:space="preserve"> r</w:t>
      </w:r>
      <w:r w:rsidRPr="0075278C">
        <w:rPr>
          <w:rFonts w:ascii="Arial" w:eastAsia="Arial" w:hAnsi="Arial" w:cs="Arial"/>
          <w:sz w:val="20"/>
          <w:szCs w:val="20"/>
        </w:rPr>
        <w:t>isoluzione n. 38/E del 23 ottobre 2026</w:t>
      </w:r>
      <w:r w:rsidR="0075278C">
        <w:rPr>
          <w:rFonts w:ascii="Arial" w:eastAsia="Arial" w:hAnsi="Arial" w:cs="Arial"/>
          <w:color w:val="000000"/>
          <w:sz w:val="20"/>
          <w:szCs w:val="20"/>
        </w:rPr>
        <w:t xml:space="preserve"> </w:t>
      </w:r>
      <w:r w:rsidRPr="0075278C">
        <w:rPr>
          <w:rFonts w:ascii="Arial" w:eastAsia="Arial" w:hAnsi="Arial" w:cs="Arial"/>
          <w:color w:val="000000"/>
          <w:sz w:val="20"/>
          <w:szCs w:val="20"/>
        </w:rPr>
        <w:t>l’Agenzi</w:t>
      </w:r>
      <w:r w:rsidRPr="00046476">
        <w:rPr>
          <w:rFonts w:ascii="Arial" w:eastAsia="Arial" w:hAnsi="Arial" w:cs="Arial"/>
          <w:color w:val="000000"/>
          <w:sz w:val="20"/>
          <w:szCs w:val="20"/>
        </w:rPr>
        <w:t xml:space="preserve">a </w:t>
      </w:r>
      <w:r w:rsidR="0075278C">
        <w:rPr>
          <w:rFonts w:ascii="Arial" w:eastAsia="Arial" w:hAnsi="Arial" w:cs="Arial"/>
          <w:color w:val="000000"/>
          <w:sz w:val="20"/>
          <w:szCs w:val="20"/>
        </w:rPr>
        <w:t xml:space="preserve">delle </w:t>
      </w:r>
      <w:r w:rsidRPr="00046476">
        <w:rPr>
          <w:rFonts w:ascii="Arial" w:eastAsia="Arial" w:hAnsi="Arial" w:cs="Arial"/>
          <w:color w:val="000000"/>
          <w:sz w:val="20"/>
          <w:szCs w:val="20"/>
        </w:rPr>
        <w:t>Entrate ha istituito i codici tributo necessari per versare, tramite modello F24, le somme dovute a titolo di sanzione unica in caso di applica</w:t>
      </w:r>
      <w:r w:rsidRPr="0075278C">
        <w:rPr>
          <w:rFonts w:ascii="Arial" w:eastAsia="Arial" w:hAnsi="Arial" w:cs="Arial"/>
          <w:color w:val="000000"/>
          <w:sz w:val="20"/>
          <w:szCs w:val="20"/>
        </w:rPr>
        <w:t>zione del</w:t>
      </w:r>
      <w:r w:rsidR="0075278C" w:rsidRPr="0075278C">
        <w:rPr>
          <w:rFonts w:ascii="Arial" w:eastAsia="Arial" w:hAnsi="Arial" w:cs="Arial"/>
          <w:color w:val="000000"/>
          <w:sz w:val="20"/>
          <w:szCs w:val="20"/>
        </w:rPr>
        <w:t xml:space="preserve"> </w:t>
      </w:r>
      <w:r w:rsidRPr="0075278C">
        <w:rPr>
          <w:rFonts w:ascii="Arial" w:eastAsia="Arial" w:hAnsi="Arial" w:cs="Arial"/>
          <w:color w:val="000000"/>
          <w:sz w:val="20"/>
          <w:szCs w:val="20"/>
        </w:rPr>
        <w:t>cumulo giuridico</w:t>
      </w:r>
      <w:r w:rsidR="0075278C" w:rsidRPr="0075278C">
        <w:rPr>
          <w:rFonts w:ascii="Arial" w:eastAsia="Arial" w:hAnsi="Arial" w:cs="Arial"/>
          <w:color w:val="000000"/>
          <w:sz w:val="20"/>
          <w:szCs w:val="20"/>
        </w:rPr>
        <w:t xml:space="preserve"> </w:t>
      </w:r>
      <w:r w:rsidRPr="0075278C">
        <w:rPr>
          <w:rFonts w:ascii="Arial" w:eastAsia="Arial" w:hAnsi="Arial" w:cs="Arial"/>
          <w:color w:val="000000"/>
          <w:sz w:val="20"/>
          <w:szCs w:val="20"/>
        </w:rPr>
        <w:t>nell’ambito del</w:t>
      </w:r>
      <w:r w:rsidR="0075278C" w:rsidRPr="0075278C">
        <w:rPr>
          <w:rFonts w:ascii="Arial" w:eastAsia="Arial" w:hAnsi="Arial" w:cs="Arial"/>
          <w:color w:val="000000"/>
          <w:sz w:val="20"/>
          <w:szCs w:val="20"/>
        </w:rPr>
        <w:t xml:space="preserve"> </w:t>
      </w:r>
      <w:r w:rsidRPr="0075278C">
        <w:rPr>
          <w:rFonts w:ascii="Arial" w:eastAsia="Arial" w:hAnsi="Arial" w:cs="Arial"/>
          <w:color w:val="000000"/>
          <w:sz w:val="20"/>
          <w:szCs w:val="20"/>
        </w:rPr>
        <w:t>ravvedimento operoso.</w:t>
      </w:r>
    </w:p>
    <w:p w14:paraId="6B855490" w14:textId="1915F0D2" w:rsidR="00F42277" w:rsidRPr="00046476" w:rsidRDefault="00F42277" w:rsidP="0075278C">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046476">
        <w:rPr>
          <w:rFonts w:ascii="Arial" w:eastAsia="Arial" w:hAnsi="Arial" w:cs="Arial"/>
          <w:color w:val="000000"/>
          <w:sz w:val="20"/>
          <w:szCs w:val="20"/>
        </w:rPr>
        <w:t>La disciplina trova fondamento nell’art</w:t>
      </w:r>
      <w:r w:rsidR="0075278C">
        <w:rPr>
          <w:rFonts w:ascii="Arial" w:eastAsia="Arial" w:hAnsi="Arial" w:cs="Arial"/>
          <w:color w:val="000000"/>
          <w:sz w:val="20"/>
          <w:szCs w:val="20"/>
        </w:rPr>
        <w:t>.</w:t>
      </w:r>
      <w:r w:rsidRPr="00046476">
        <w:rPr>
          <w:rFonts w:ascii="Arial" w:eastAsia="Arial" w:hAnsi="Arial" w:cs="Arial"/>
          <w:color w:val="000000"/>
          <w:sz w:val="20"/>
          <w:szCs w:val="20"/>
        </w:rPr>
        <w:t xml:space="preserve"> 3 del </w:t>
      </w:r>
      <w:r w:rsidR="0075278C">
        <w:rPr>
          <w:rFonts w:ascii="Arial" w:eastAsia="Arial" w:hAnsi="Arial" w:cs="Arial"/>
          <w:color w:val="000000"/>
          <w:sz w:val="20"/>
          <w:szCs w:val="20"/>
        </w:rPr>
        <w:t>D.Lgs.</w:t>
      </w:r>
      <w:r w:rsidRPr="00046476">
        <w:rPr>
          <w:rFonts w:ascii="Arial" w:eastAsia="Arial" w:hAnsi="Arial" w:cs="Arial"/>
          <w:color w:val="000000"/>
          <w:sz w:val="20"/>
          <w:szCs w:val="20"/>
        </w:rPr>
        <w:t xml:space="preserve"> 14 giugno 2024, n. 87, che ha modificato l’art</w:t>
      </w:r>
      <w:r w:rsidR="00944B25">
        <w:rPr>
          <w:rFonts w:ascii="Arial" w:eastAsia="Arial" w:hAnsi="Arial" w:cs="Arial"/>
          <w:color w:val="000000"/>
          <w:sz w:val="20"/>
          <w:szCs w:val="20"/>
        </w:rPr>
        <w:t>.</w:t>
      </w:r>
      <w:r w:rsidRPr="00046476">
        <w:rPr>
          <w:rFonts w:ascii="Arial" w:eastAsia="Arial" w:hAnsi="Arial" w:cs="Arial"/>
          <w:color w:val="000000"/>
          <w:sz w:val="20"/>
          <w:szCs w:val="20"/>
        </w:rPr>
        <w:t xml:space="preserve"> 12 del </w:t>
      </w:r>
      <w:r w:rsidR="00944B25">
        <w:rPr>
          <w:rFonts w:ascii="Arial" w:eastAsia="Arial" w:hAnsi="Arial" w:cs="Arial"/>
          <w:color w:val="000000"/>
          <w:sz w:val="20"/>
          <w:szCs w:val="20"/>
        </w:rPr>
        <w:t>D.Lgs.</w:t>
      </w:r>
      <w:r w:rsidRPr="00046476">
        <w:rPr>
          <w:rFonts w:ascii="Arial" w:eastAsia="Arial" w:hAnsi="Arial" w:cs="Arial"/>
          <w:color w:val="000000"/>
          <w:sz w:val="20"/>
          <w:szCs w:val="20"/>
        </w:rPr>
        <w:t xml:space="preserve"> n. 472/1997, introducendo inoltre il comma 2-bis nell’art</w:t>
      </w:r>
      <w:r w:rsidR="00944B25">
        <w:rPr>
          <w:rFonts w:ascii="Arial" w:eastAsia="Arial" w:hAnsi="Arial" w:cs="Arial"/>
          <w:color w:val="000000"/>
          <w:sz w:val="20"/>
          <w:szCs w:val="20"/>
        </w:rPr>
        <w:t>.</w:t>
      </w:r>
      <w:r w:rsidRPr="00046476">
        <w:rPr>
          <w:rFonts w:ascii="Arial" w:eastAsia="Arial" w:hAnsi="Arial" w:cs="Arial"/>
          <w:color w:val="000000"/>
          <w:sz w:val="20"/>
          <w:szCs w:val="20"/>
        </w:rPr>
        <w:t xml:space="preserve"> 13 dello stesso decreto. Quest’ultima disposizione prevede che, quando la sanzione è determinata secondo il criterio del cumulo giuridico,</w:t>
      </w:r>
      <w:r w:rsidR="00944B25">
        <w:rPr>
          <w:rFonts w:ascii="Arial" w:eastAsia="Arial" w:hAnsi="Arial" w:cs="Arial"/>
          <w:color w:val="000000"/>
          <w:sz w:val="20"/>
          <w:szCs w:val="20"/>
        </w:rPr>
        <w:t xml:space="preserve"> </w:t>
      </w:r>
      <w:r w:rsidRPr="00046476">
        <w:rPr>
          <w:rFonts w:ascii="Arial" w:eastAsia="Arial" w:hAnsi="Arial" w:cs="Arial"/>
          <w:b/>
          <w:bCs/>
          <w:color w:val="000000"/>
          <w:sz w:val="20"/>
          <w:szCs w:val="20"/>
        </w:rPr>
        <w:t>la percentuale di riduzione sia individuata in relazione alla prima violazione</w:t>
      </w:r>
      <w:r w:rsidRPr="00046476">
        <w:rPr>
          <w:rFonts w:ascii="Arial" w:eastAsia="Arial" w:hAnsi="Arial" w:cs="Arial"/>
          <w:color w:val="000000"/>
          <w:sz w:val="20"/>
          <w:szCs w:val="20"/>
        </w:rPr>
        <w:t>.</w:t>
      </w:r>
    </w:p>
    <w:p w14:paraId="7509FD63" w14:textId="4F00AC2F" w:rsidR="00F42277" w:rsidRPr="00046476" w:rsidRDefault="00F42277" w:rsidP="0075278C">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046476">
        <w:rPr>
          <w:rFonts w:ascii="Arial" w:eastAsia="Arial" w:hAnsi="Arial" w:cs="Arial"/>
          <w:color w:val="000000"/>
          <w:sz w:val="20"/>
          <w:szCs w:val="20"/>
        </w:rPr>
        <w:t xml:space="preserve">Per consentire il versamento delle sanzioni uniche, l’Agenzia </w:t>
      </w:r>
      <w:r w:rsidR="00944B25">
        <w:rPr>
          <w:rFonts w:ascii="Arial" w:eastAsia="Arial" w:hAnsi="Arial" w:cs="Arial"/>
          <w:color w:val="000000"/>
          <w:sz w:val="20"/>
          <w:szCs w:val="20"/>
        </w:rPr>
        <w:t xml:space="preserve">delle </w:t>
      </w:r>
      <w:r w:rsidRPr="00046476">
        <w:rPr>
          <w:rFonts w:ascii="Arial" w:eastAsia="Arial" w:hAnsi="Arial" w:cs="Arial"/>
          <w:color w:val="000000"/>
          <w:sz w:val="20"/>
          <w:szCs w:val="20"/>
        </w:rPr>
        <w:t>Entrate ha quindi istituito una serie di codici tributo distinti in base alla tipologia di imposta interessata.</w:t>
      </w:r>
      <w:r w:rsidR="00944B25">
        <w:rPr>
          <w:rFonts w:ascii="Arial" w:eastAsia="Arial" w:hAnsi="Arial" w:cs="Arial"/>
          <w:color w:val="000000"/>
          <w:sz w:val="20"/>
          <w:szCs w:val="20"/>
        </w:rPr>
        <w:t xml:space="preserve"> </w:t>
      </w:r>
      <w:r w:rsidRPr="00046476">
        <w:rPr>
          <w:rFonts w:ascii="Arial" w:eastAsia="Arial" w:hAnsi="Arial" w:cs="Arial"/>
          <w:color w:val="000000"/>
          <w:sz w:val="20"/>
          <w:szCs w:val="20"/>
        </w:rPr>
        <w:t>I nuovi codici, da utilizzare per il pagamento</w:t>
      </w:r>
      <w:r w:rsidR="00944B25">
        <w:rPr>
          <w:rFonts w:ascii="Arial" w:eastAsia="Arial" w:hAnsi="Arial" w:cs="Arial"/>
          <w:color w:val="000000"/>
          <w:sz w:val="20"/>
          <w:szCs w:val="20"/>
        </w:rPr>
        <w:t xml:space="preserve"> </w:t>
      </w:r>
      <w:r w:rsidRPr="00046476">
        <w:rPr>
          <w:rFonts w:ascii="Arial" w:eastAsia="Arial" w:hAnsi="Arial" w:cs="Arial"/>
          <w:b/>
          <w:bCs/>
          <w:color w:val="000000"/>
          <w:sz w:val="20"/>
          <w:szCs w:val="20"/>
        </w:rPr>
        <w:t>tramite modello F24 ordinario</w:t>
      </w:r>
      <w:r w:rsidRPr="00046476">
        <w:rPr>
          <w:rFonts w:ascii="Arial" w:eastAsia="Arial" w:hAnsi="Arial" w:cs="Arial"/>
          <w:color w:val="000000"/>
          <w:sz w:val="20"/>
          <w:szCs w:val="20"/>
        </w:rPr>
        <w:t>, sono i seguenti:</w:t>
      </w:r>
    </w:p>
    <w:p w14:paraId="1B4AC085" w14:textId="52A235D5"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8960</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IRPEF;</w:t>
      </w:r>
    </w:p>
    <w:p w14:paraId="1DC8640B" w14:textId="4DF0BA0F"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8961</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addizionale comunale all’IRPEF;</w:t>
      </w:r>
    </w:p>
    <w:p w14:paraId="2BB2B68A" w14:textId="5CFD3A4E"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8962</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addizionale regionale all’IRPEF;</w:t>
      </w:r>
    </w:p>
    <w:p w14:paraId="02119CFC" w14:textId="575CF6A5"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8963</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IRES;</w:t>
      </w:r>
    </w:p>
    <w:p w14:paraId="78C022A5" w14:textId="4EEDDAF3"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8964</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IRAP;</w:t>
      </w:r>
    </w:p>
    <w:p w14:paraId="7DFE0F7F" w14:textId="04BB6ED5"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8965</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IVA;</w:t>
      </w:r>
    </w:p>
    <w:p w14:paraId="16A58023" w14:textId="446159C8"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8966</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ritenute;</w:t>
      </w:r>
    </w:p>
    <w:p w14:paraId="66318213" w14:textId="49EFD0F7"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8967</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imposta sostitutiva;</w:t>
      </w:r>
    </w:p>
    <w:p w14:paraId="1457F80F" w14:textId="2D66C606"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8968</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IVIE;</w:t>
      </w:r>
    </w:p>
    <w:p w14:paraId="0DD4132C" w14:textId="352D3860"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8969</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IVAFE;</w:t>
      </w:r>
    </w:p>
    <w:p w14:paraId="1BF0298C" w14:textId="67781D0D"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8970</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imposta di registro;</w:t>
      </w:r>
    </w:p>
    <w:p w14:paraId="677699ED" w14:textId="316AF100"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8971</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imposta di bollo;</w:t>
      </w:r>
    </w:p>
    <w:p w14:paraId="4BFC1088" w14:textId="655FA9E2"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lastRenderedPageBreak/>
        <w:t>8972</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imposta ipotecaria;</w:t>
      </w:r>
    </w:p>
    <w:p w14:paraId="20131FC7" w14:textId="39621927"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8973</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imposta catastale;</w:t>
      </w:r>
    </w:p>
    <w:p w14:paraId="18B6DE20" w14:textId="5A4B178D"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8974</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imposta di successione;</w:t>
      </w:r>
    </w:p>
    <w:p w14:paraId="3A743A62" w14:textId="008AEAA0"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8975</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imposta sulle donazioni;</w:t>
      </w:r>
    </w:p>
    <w:p w14:paraId="17F08364" w14:textId="7AC4BAF1"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8976</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imposta sui servizi digitali (webtax);</w:t>
      </w:r>
    </w:p>
    <w:p w14:paraId="00ED593E" w14:textId="2F5F021E"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8977</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imposta sulle transazioni finanziarie;</w:t>
      </w:r>
    </w:p>
    <w:p w14:paraId="2C853EB2" w14:textId="57289360"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8978</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global minimum tax;</w:t>
      </w:r>
    </w:p>
    <w:p w14:paraId="0EC2FBB9" w14:textId="105FE942" w:rsidR="00F42277" w:rsidRPr="00944B25" w:rsidRDefault="00F42277" w:rsidP="00465C43">
      <w:pPr>
        <w:pStyle w:val="Paragrafoelenco"/>
        <w:numPr>
          <w:ilvl w:val="0"/>
          <w:numId w:val="5"/>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8979</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 Sanzione unica da ravvedimento canone TV.</w:t>
      </w:r>
    </w:p>
    <w:p w14:paraId="693FAB01" w14:textId="7F2A9075" w:rsidR="00F42277" w:rsidRPr="00944B25" w:rsidRDefault="00F42277" w:rsidP="0075278C">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046476">
        <w:rPr>
          <w:rFonts w:ascii="Arial" w:eastAsia="Arial" w:hAnsi="Arial" w:cs="Arial"/>
          <w:color w:val="000000"/>
          <w:sz w:val="20"/>
          <w:szCs w:val="20"/>
        </w:rPr>
        <w:t xml:space="preserve">In sede di compilazione del modello F24, i codici dovranno essere generalmente esposti nella sezione “Erario”, esclusivamente in corrispondenza degli importi a debito versati. Nel campo “anno di riferimento” dovrà essere indicato l’anno d’imposta per il quale si effettua il pagamento, nel formato “AAAA”. La risoluzione precisa però </w:t>
      </w:r>
      <w:r w:rsidRPr="00944B25">
        <w:rPr>
          <w:rFonts w:ascii="Arial" w:eastAsia="Arial" w:hAnsi="Arial" w:cs="Arial"/>
          <w:b/>
          <w:bCs/>
          <w:color w:val="000000"/>
          <w:sz w:val="20"/>
          <w:szCs w:val="20"/>
        </w:rPr>
        <w:t>specifiche modalità di compilazione per alcuni codici</w:t>
      </w:r>
      <w:r w:rsidRPr="00046476">
        <w:rPr>
          <w:rFonts w:ascii="Arial" w:eastAsia="Arial" w:hAnsi="Arial" w:cs="Arial"/>
          <w:color w:val="000000"/>
          <w:sz w:val="20"/>
          <w:szCs w:val="20"/>
        </w:rPr>
        <w:t>:</w:t>
      </w:r>
      <w:r w:rsidRPr="00944B25">
        <w:rPr>
          <w:rFonts w:ascii="Arial" w:eastAsia="Arial" w:hAnsi="Arial" w:cs="Arial"/>
          <w:color w:val="000000"/>
          <w:sz w:val="20"/>
          <w:szCs w:val="20"/>
        </w:rPr>
        <w:t xml:space="preserve"> il</w:t>
      </w:r>
      <w:r w:rsidR="00944B25" w:rsidRPr="00944B25">
        <w:rPr>
          <w:rFonts w:ascii="Arial" w:eastAsia="Arial" w:hAnsi="Arial" w:cs="Arial"/>
          <w:color w:val="000000"/>
          <w:sz w:val="20"/>
          <w:szCs w:val="20"/>
        </w:rPr>
        <w:t xml:space="preserve"> </w:t>
      </w:r>
      <w:r w:rsidRPr="00944B25">
        <w:rPr>
          <w:rFonts w:ascii="Arial" w:eastAsia="Arial" w:hAnsi="Arial" w:cs="Arial"/>
          <w:color w:val="000000"/>
          <w:sz w:val="20"/>
          <w:szCs w:val="20"/>
        </w:rPr>
        <w:t>8962</w:t>
      </w:r>
      <w:r w:rsidR="00944B25" w:rsidRPr="00944B25">
        <w:rPr>
          <w:rFonts w:ascii="Arial" w:eastAsia="Arial" w:hAnsi="Arial" w:cs="Arial"/>
          <w:color w:val="000000"/>
          <w:sz w:val="20"/>
          <w:szCs w:val="20"/>
        </w:rPr>
        <w:t xml:space="preserve"> </w:t>
      </w:r>
      <w:r w:rsidRPr="00944B25">
        <w:rPr>
          <w:rFonts w:ascii="Arial" w:eastAsia="Arial" w:hAnsi="Arial" w:cs="Arial"/>
          <w:color w:val="000000"/>
          <w:sz w:val="20"/>
          <w:szCs w:val="20"/>
        </w:rPr>
        <w:t>e il</w:t>
      </w:r>
      <w:r w:rsidR="00944B25" w:rsidRPr="00944B25">
        <w:rPr>
          <w:rFonts w:ascii="Arial" w:eastAsia="Arial" w:hAnsi="Arial" w:cs="Arial"/>
          <w:color w:val="000000"/>
          <w:sz w:val="20"/>
          <w:szCs w:val="20"/>
        </w:rPr>
        <w:t xml:space="preserve"> </w:t>
      </w:r>
      <w:r w:rsidRPr="00944B25">
        <w:rPr>
          <w:rFonts w:ascii="Arial" w:eastAsia="Arial" w:hAnsi="Arial" w:cs="Arial"/>
          <w:color w:val="000000"/>
          <w:sz w:val="20"/>
          <w:szCs w:val="20"/>
        </w:rPr>
        <w:t>8964</w:t>
      </w:r>
      <w:r w:rsidR="00944B25" w:rsidRPr="00944B25">
        <w:rPr>
          <w:rFonts w:ascii="Arial" w:eastAsia="Arial" w:hAnsi="Arial" w:cs="Arial"/>
          <w:color w:val="000000"/>
          <w:sz w:val="20"/>
          <w:szCs w:val="20"/>
        </w:rPr>
        <w:t xml:space="preserve"> </w:t>
      </w:r>
      <w:r w:rsidRPr="00944B25">
        <w:rPr>
          <w:rFonts w:ascii="Arial" w:eastAsia="Arial" w:hAnsi="Arial" w:cs="Arial"/>
          <w:color w:val="000000"/>
          <w:sz w:val="20"/>
          <w:szCs w:val="20"/>
        </w:rPr>
        <w:t>devono essere indicati nella sezione “Regioni”, unitamente al codice regione; il</w:t>
      </w:r>
      <w:r w:rsidR="00944B25" w:rsidRPr="00944B25">
        <w:rPr>
          <w:rFonts w:ascii="Arial" w:eastAsia="Arial" w:hAnsi="Arial" w:cs="Arial"/>
          <w:color w:val="000000"/>
          <w:sz w:val="20"/>
          <w:szCs w:val="20"/>
        </w:rPr>
        <w:t xml:space="preserve"> </w:t>
      </w:r>
      <w:r w:rsidRPr="00944B25">
        <w:rPr>
          <w:rFonts w:ascii="Arial" w:eastAsia="Arial" w:hAnsi="Arial" w:cs="Arial"/>
          <w:color w:val="000000"/>
          <w:sz w:val="20"/>
          <w:szCs w:val="20"/>
        </w:rPr>
        <w:t>8961</w:t>
      </w:r>
      <w:r w:rsidR="00944B25" w:rsidRPr="00944B25">
        <w:rPr>
          <w:rFonts w:ascii="Arial" w:eastAsia="Arial" w:hAnsi="Arial" w:cs="Arial"/>
          <w:color w:val="000000"/>
          <w:sz w:val="20"/>
          <w:szCs w:val="20"/>
        </w:rPr>
        <w:t xml:space="preserve"> </w:t>
      </w:r>
      <w:r w:rsidRPr="00944B25">
        <w:rPr>
          <w:rFonts w:ascii="Arial" w:eastAsia="Arial" w:hAnsi="Arial" w:cs="Arial"/>
          <w:color w:val="000000"/>
          <w:sz w:val="20"/>
          <w:szCs w:val="20"/>
        </w:rPr>
        <w:t>va esposto nella sezione “IMU e altri tributi locali”, con il codice catastale del Comune. Per il codice</w:t>
      </w:r>
      <w:r w:rsidR="00944B25" w:rsidRPr="00944B25">
        <w:rPr>
          <w:rFonts w:ascii="Arial" w:eastAsia="Arial" w:hAnsi="Arial" w:cs="Arial"/>
          <w:color w:val="000000"/>
          <w:sz w:val="20"/>
          <w:szCs w:val="20"/>
        </w:rPr>
        <w:t xml:space="preserve"> </w:t>
      </w:r>
      <w:r w:rsidRPr="00944B25">
        <w:rPr>
          <w:rFonts w:ascii="Arial" w:eastAsia="Arial" w:hAnsi="Arial" w:cs="Arial"/>
          <w:color w:val="000000"/>
          <w:sz w:val="20"/>
          <w:szCs w:val="20"/>
        </w:rPr>
        <w:t>8974, relativo all’imposta di successione, sono previste indicazioni specifiche per il versamento da parte dell’erede.</w:t>
      </w:r>
    </w:p>
    <w:p w14:paraId="4A902FCC" w14:textId="77777777" w:rsidR="00F42277" w:rsidRPr="00046476" w:rsidRDefault="00F42277" w:rsidP="0075278C">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046476">
        <w:rPr>
          <w:rFonts w:ascii="Arial" w:eastAsia="Arial" w:hAnsi="Arial" w:cs="Arial"/>
          <w:color w:val="000000"/>
          <w:sz w:val="20"/>
          <w:szCs w:val="20"/>
        </w:rPr>
        <w:t>Il documento disciplina anche il versamento delle sanzioni uniche relative ad altre imposte e tributi.</w:t>
      </w:r>
    </w:p>
    <w:p w14:paraId="188692F5" w14:textId="31F0EC17" w:rsidR="00F42277" w:rsidRPr="00046476" w:rsidRDefault="00F42277" w:rsidP="0075278C">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046476">
        <w:rPr>
          <w:rFonts w:ascii="Arial" w:eastAsia="Arial" w:hAnsi="Arial" w:cs="Arial"/>
          <w:color w:val="000000"/>
          <w:sz w:val="20"/>
          <w:szCs w:val="20"/>
        </w:rPr>
        <w:t>Per gli enti pubblici che utilizzano il</w:t>
      </w:r>
      <w:r w:rsidR="00944B25">
        <w:rPr>
          <w:rFonts w:ascii="Arial" w:eastAsia="Arial" w:hAnsi="Arial" w:cs="Arial"/>
          <w:color w:val="000000"/>
          <w:sz w:val="20"/>
          <w:szCs w:val="20"/>
        </w:rPr>
        <w:t xml:space="preserve"> </w:t>
      </w:r>
      <w:r w:rsidRPr="00046476">
        <w:rPr>
          <w:rFonts w:ascii="Arial" w:eastAsia="Arial" w:hAnsi="Arial" w:cs="Arial"/>
          <w:b/>
          <w:bCs/>
          <w:color w:val="000000"/>
          <w:sz w:val="20"/>
          <w:szCs w:val="20"/>
        </w:rPr>
        <w:t>modello</w:t>
      </w:r>
      <w:r w:rsidRPr="00046476">
        <w:rPr>
          <w:rFonts w:ascii="Arial" w:eastAsia="Arial" w:hAnsi="Arial" w:cs="Arial"/>
          <w:color w:val="000000"/>
          <w:sz w:val="20"/>
          <w:szCs w:val="20"/>
        </w:rPr>
        <w:t> </w:t>
      </w:r>
      <w:r w:rsidRPr="00046476">
        <w:rPr>
          <w:rFonts w:ascii="Arial" w:eastAsia="Arial" w:hAnsi="Arial" w:cs="Arial"/>
          <w:b/>
          <w:bCs/>
          <w:color w:val="000000"/>
          <w:sz w:val="20"/>
          <w:szCs w:val="20"/>
        </w:rPr>
        <w:t>F24 Enti pubblici (F24 EP)</w:t>
      </w:r>
      <w:r w:rsidRPr="00046476">
        <w:rPr>
          <w:rFonts w:ascii="Arial" w:eastAsia="Arial" w:hAnsi="Arial" w:cs="Arial"/>
          <w:color w:val="000000"/>
          <w:sz w:val="20"/>
          <w:szCs w:val="20"/>
        </w:rPr>
        <w:t>, l’Agenzia chiarisce che possono essere impiegati i codici tributo già istituiti e utilizzati per il pagamento delle sanzioni in regime di ravvedimento.</w:t>
      </w:r>
    </w:p>
    <w:p w14:paraId="7DC07F6A" w14:textId="34B0DB0E" w:rsidR="00F42277" w:rsidRPr="00046476" w:rsidRDefault="00F42277" w:rsidP="0075278C">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046476">
        <w:rPr>
          <w:rFonts w:ascii="Arial" w:eastAsia="Arial" w:hAnsi="Arial" w:cs="Arial"/>
          <w:color w:val="000000"/>
          <w:sz w:val="20"/>
          <w:szCs w:val="20"/>
        </w:rPr>
        <w:t>Per il versamento tramite</w:t>
      </w:r>
      <w:r w:rsidR="00944B25">
        <w:rPr>
          <w:rFonts w:ascii="Arial" w:eastAsia="Arial" w:hAnsi="Arial" w:cs="Arial"/>
          <w:color w:val="000000"/>
          <w:sz w:val="20"/>
          <w:szCs w:val="20"/>
        </w:rPr>
        <w:t xml:space="preserve"> </w:t>
      </w:r>
      <w:r w:rsidRPr="00046476">
        <w:rPr>
          <w:rFonts w:ascii="Arial" w:eastAsia="Arial" w:hAnsi="Arial" w:cs="Arial"/>
          <w:b/>
          <w:bCs/>
          <w:color w:val="000000"/>
          <w:sz w:val="20"/>
          <w:szCs w:val="20"/>
        </w:rPr>
        <w:t>modello F24-Accise</w:t>
      </w:r>
      <w:r w:rsidRPr="00046476">
        <w:rPr>
          <w:rFonts w:ascii="Arial" w:eastAsia="Arial" w:hAnsi="Arial" w:cs="Arial"/>
          <w:color w:val="000000"/>
          <w:sz w:val="20"/>
          <w:szCs w:val="20"/>
        </w:rPr>
        <w:t>, sono istituiti</w:t>
      </w:r>
      <w:r w:rsidR="00944B25">
        <w:rPr>
          <w:rFonts w:ascii="Arial" w:eastAsia="Arial" w:hAnsi="Arial" w:cs="Arial"/>
          <w:color w:val="000000"/>
          <w:sz w:val="20"/>
          <w:szCs w:val="20"/>
        </w:rPr>
        <w:t xml:space="preserve"> i codici</w:t>
      </w:r>
      <w:r w:rsidRPr="00046476">
        <w:rPr>
          <w:rFonts w:ascii="Arial" w:eastAsia="Arial" w:hAnsi="Arial" w:cs="Arial"/>
          <w:color w:val="000000"/>
          <w:sz w:val="20"/>
          <w:szCs w:val="20"/>
        </w:rPr>
        <w:t>:</w:t>
      </w:r>
    </w:p>
    <w:p w14:paraId="5CE51179" w14:textId="77777777" w:rsidR="00F42277" w:rsidRPr="00944B25" w:rsidRDefault="00F42277" w:rsidP="00465C43">
      <w:pPr>
        <w:pStyle w:val="Paragrafoelenco"/>
        <w:numPr>
          <w:ilvl w:val="0"/>
          <w:numId w:val="6"/>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8984, per la sanzione unica da ravvedimento dell’imposta sulle assicurazioni;</w:t>
      </w:r>
    </w:p>
    <w:p w14:paraId="5ADC347C" w14:textId="77777777" w:rsidR="00F42277" w:rsidRPr="00944B25" w:rsidRDefault="00F42277" w:rsidP="00465C43">
      <w:pPr>
        <w:pStyle w:val="Paragrafoelenco"/>
        <w:numPr>
          <w:ilvl w:val="0"/>
          <w:numId w:val="6"/>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944B25">
        <w:rPr>
          <w:rFonts w:ascii="Arial" w:eastAsia="Arial" w:hAnsi="Arial" w:cs="Arial"/>
          <w:color w:val="000000"/>
          <w:sz w:val="20"/>
          <w:szCs w:val="20"/>
        </w:rPr>
        <w:t>8985, per la sanzione unica da ravvedimento dell’imposta sugli intrattenimenti.</w:t>
      </w:r>
    </w:p>
    <w:p w14:paraId="4CD6579B" w14:textId="217B6DF6" w:rsidR="00F42277" w:rsidRPr="00944B25" w:rsidRDefault="00F42277" w:rsidP="0075278C">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046476">
        <w:rPr>
          <w:rFonts w:ascii="Arial" w:eastAsia="Arial" w:hAnsi="Arial" w:cs="Arial"/>
          <w:color w:val="000000"/>
          <w:sz w:val="20"/>
          <w:szCs w:val="20"/>
        </w:rPr>
        <w:t>Infine, per il pagamento tramite</w:t>
      </w:r>
      <w:r w:rsidR="00944B25">
        <w:rPr>
          <w:rFonts w:ascii="Arial" w:eastAsia="Arial" w:hAnsi="Arial" w:cs="Arial"/>
          <w:color w:val="000000"/>
          <w:sz w:val="20"/>
          <w:szCs w:val="20"/>
        </w:rPr>
        <w:t xml:space="preserve"> </w:t>
      </w:r>
      <w:r w:rsidRPr="00046476">
        <w:rPr>
          <w:rFonts w:ascii="Arial" w:eastAsia="Arial" w:hAnsi="Arial" w:cs="Arial"/>
          <w:b/>
          <w:bCs/>
          <w:color w:val="000000"/>
          <w:sz w:val="20"/>
          <w:szCs w:val="20"/>
        </w:rPr>
        <w:t>modello F24 Versamenti con elementi identificativi (ELIDE)</w:t>
      </w:r>
      <w:r w:rsidR="00944B25">
        <w:rPr>
          <w:rFonts w:ascii="Arial" w:eastAsia="Arial" w:hAnsi="Arial" w:cs="Arial"/>
          <w:color w:val="000000"/>
          <w:sz w:val="20"/>
          <w:szCs w:val="20"/>
        </w:rPr>
        <w:t xml:space="preserve"> </w:t>
      </w:r>
      <w:r w:rsidRPr="00046476">
        <w:rPr>
          <w:rFonts w:ascii="Arial" w:eastAsia="Arial" w:hAnsi="Arial" w:cs="Arial"/>
          <w:color w:val="000000"/>
          <w:sz w:val="20"/>
          <w:szCs w:val="20"/>
        </w:rPr>
        <w:t>della sanzione unica relativa all’imposta erariale sui voli dei passeggeri di aerotaxi e voli taxi, viene istituito il codice trib</w:t>
      </w:r>
      <w:r w:rsidRPr="00944B25">
        <w:rPr>
          <w:rFonts w:ascii="Arial" w:eastAsia="Arial" w:hAnsi="Arial" w:cs="Arial"/>
          <w:color w:val="000000"/>
          <w:sz w:val="20"/>
          <w:szCs w:val="20"/>
        </w:rPr>
        <w:t>uto</w:t>
      </w:r>
      <w:r w:rsidR="00944B25">
        <w:rPr>
          <w:rFonts w:ascii="Arial" w:eastAsia="Arial" w:hAnsi="Arial" w:cs="Arial"/>
          <w:color w:val="000000"/>
          <w:sz w:val="20"/>
          <w:szCs w:val="20"/>
        </w:rPr>
        <w:t xml:space="preserve"> </w:t>
      </w:r>
      <w:r w:rsidRPr="00944B25">
        <w:rPr>
          <w:rFonts w:ascii="Arial" w:eastAsia="Arial" w:hAnsi="Arial" w:cs="Arial"/>
          <w:color w:val="000000"/>
          <w:sz w:val="20"/>
          <w:szCs w:val="20"/>
        </w:rPr>
        <w:t>8986.</w:t>
      </w:r>
    </w:p>
    <w:p w14:paraId="12AC561A" w14:textId="77777777" w:rsidR="00100FD3" w:rsidRPr="00944B25" w:rsidRDefault="00100FD3" w:rsidP="0075278C">
      <w:pPr>
        <w:pBdr>
          <w:top w:val="nil"/>
          <w:left w:val="nil"/>
          <w:bottom w:val="nil"/>
          <w:right w:val="nil"/>
          <w:between w:val="nil"/>
        </w:pBdr>
        <w:tabs>
          <w:tab w:val="left" w:pos="2160"/>
          <w:tab w:val="left" w:pos="3168"/>
          <w:tab w:val="left" w:pos="4838"/>
        </w:tabs>
        <w:spacing w:line="300" w:lineRule="atLeast"/>
        <w:ind w:leftChars="0" w:firstLineChars="0" w:firstLine="0"/>
        <w:jc w:val="both"/>
        <w:rPr>
          <w:rFonts w:ascii="Arial" w:eastAsia="Arial" w:hAnsi="Arial" w:cs="Arial"/>
          <w:iCs/>
          <w:color w:val="000000"/>
          <w:sz w:val="20"/>
          <w:szCs w:val="20"/>
        </w:rPr>
      </w:pPr>
    </w:p>
    <w:p w14:paraId="77CB33ED" w14:textId="77777777" w:rsidR="00100FD3" w:rsidRPr="00944B25" w:rsidRDefault="00100FD3" w:rsidP="0075278C">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iCs/>
          <w:color w:val="000000"/>
          <w:sz w:val="20"/>
          <w:szCs w:val="20"/>
        </w:rPr>
      </w:pPr>
    </w:p>
    <w:p w14:paraId="297411E5" w14:textId="7CBE202F" w:rsidR="00944B25" w:rsidRPr="00294B08" w:rsidRDefault="00294B08" w:rsidP="00294B08">
      <w:pPr>
        <w:shd w:val="clear" w:color="auto" w:fill="FFFFFF"/>
        <w:overflowPunct w:val="0"/>
        <w:autoSpaceDE w:val="0"/>
        <w:autoSpaceDN w:val="0"/>
        <w:adjustRightInd w:val="0"/>
        <w:spacing w:line="300" w:lineRule="atLeast"/>
        <w:ind w:left="0" w:hanging="2"/>
        <w:jc w:val="both"/>
        <w:textAlignment w:val="baseline"/>
        <w:rPr>
          <w:rFonts w:ascii="Calibri" w:eastAsia="Aptos" w:hAnsi="Calibri" w:cs="Arial"/>
          <w:color w:val="0F0F0F"/>
          <w:kern w:val="2"/>
          <w:sz w:val="22"/>
          <w:szCs w:val="22"/>
          <w:lang w:eastAsia="en-US"/>
        </w:rPr>
      </w:pPr>
      <w:r w:rsidRPr="00294B08">
        <w:rPr>
          <w:rFonts w:ascii="Calibri" w:eastAsia="Aptos" w:hAnsi="Calibri" w:cs="Arial"/>
          <w:color w:val="0F0F0F"/>
          <w:kern w:val="2"/>
          <w:sz w:val="22"/>
          <w:szCs w:val="22"/>
          <w:lang w:eastAsia="en-US"/>
        </w:rPr>
        <w:t>AGEVOLAZIONI</w:t>
      </w:r>
    </w:p>
    <w:p w14:paraId="36C486B1" w14:textId="77777777" w:rsidR="00533E21" w:rsidRPr="00944B25" w:rsidRDefault="00533E21" w:rsidP="00944B25">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b/>
          <w:bCs/>
          <w:color w:val="000000"/>
          <w:sz w:val="20"/>
          <w:szCs w:val="20"/>
        </w:rPr>
      </w:pPr>
      <w:r w:rsidRPr="00294B08">
        <w:rPr>
          <w:rFonts w:ascii="Arial" w:eastAsia="Arial" w:hAnsi="Arial" w:cs="Arial"/>
          <w:b/>
          <w:bCs/>
          <w:color w:val="000000"/>
          <w:sz w:val="20"/>
          <w:szCs w:val="20"/>
        </w:rPr>
        <w:t>Credito d'imposta carburante per l'autotrasporto: istituito il codice tributo 7082</w:t>
      </w:r>
    </w:p>
    <w:p w14:paraId="548E6EBF" w14:textId="0823E4EA" w:rsidR="00294B08" w:rsidRPr="0075278C" w:rsidRDefault="00294B08" w:rsidP="00294B0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i/>
          <w:iCs/>
          <w:color w:val="000000"/>
          <w:sz w:val="20"/>
          <w:szCs w:val="20"/>
        </w:rPr>
      </w:pPr>
      <w:r w:rsidRPr="0075278C">
        <w:rPr>
          <w:rFonts w:ascii="Arial" w:eastAsia="Arial" w:hAnsi="Arial" w:cs="Arial"/>
          <w:i/>
          <w:iCs/>
          <w:color w:val="000000"/>
          <w:sz w:val="20"/>
          <w:szCs w:val="20"/>
        </w:rPr>
        <w:t>Agenzia delle Entrate, Risoluzione 2</w:t>
      </w:r>
      <w:r>
        <w:rPr>
          <w:rFonts w:ascii="Arial" w:eastAsia="Arial" w:hAnsi="Arial" w:cs="Arial"/>
          <w:i/>
          <w:iCs/>
          <w:color w:val="000000"/>
          <w:sz w:val="20"/>
          <w:szCs w:val="20"/>
        </w:rPr>
        <w:t>6</w:t>
      </w:r>
      <w:r w:rsidRPr="0075278C">
        <w:rPr>
          <w:rFonts w:ascii="Arial" w:eastAsia="Arial" w:hAnsi="Arial" w:cs="Arial"/>
          <w:i/>
          <w:iCs/>
          <w:color w:val="000000"/>
          <w:sz w:val="20"/>
          <w:szCs w:val="20"/>
        </w:rPr>
        <w:t xml:space="preserve"> ottobre 2026, n. </w:t>
      </w:r>
      <w:r>
        <w:rPr>
          <w:rFonts w:ascii="Arial" w:eastAsia="Arial" w:hAnsi="Arial" w:cs="Arial"/>
          <w:i/>
          <w:iCs/>
          <w:color w:val="000000"/>
          <w:sz w:val="20"/>
          <w:szCs w:val="20"/>
        </w:rPr>
        <w:t>40</w:t>
      </w:r>
      <w:r w:rsidRPr="0075278C">
        <w:rPr>
          <w:rFonts w:ascii="Arial" w:eastAsia="Arial" w:hAnsi="Arial" w:cs="Arial"/>
          <w:i/>
          <w:iCs/>
          <w:color w:val="000000"/>
          <w:sz w:val="20"/>
          <w:szCs w:val="20"/>
        </w:rPr>
        <w:t>/E</w:t>
      </w:r>
    </w:p>
    <w:p w14:paraId="46A5E1B0" w14:textId="12195E77" w:rsidR="00533E21" w:rsidRPr="00944B25" w:rsidRDefault="00533E21" w:rsidP="00944B25">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944B25">
        <w:rPr>
          <w:rFonts w:ascii="Arial" w:eastAsia="Arial" w:hAnsi="Arial" w:cs="Arial"/>
          <w:color w:val="000000"/>
          <w:sz w:val="20"/>
          <w:szCs w:val="20"/>
        </w:rPr>
        <w:t>L'Agenzia delle Entrate ha emanato la risoluzione che introduce il codice tributo operativo per l'</w:t>
      </w:r>
      <w:r w:rsidRPr="00294B08">
        <w:rPr>
          <w:rFonts w:ascii="Arial" w:eastAsia="Arial" w:hAnsi="Arial" w:cs="Arial"/>
          <w:b/>
          <w:bCs/>
          <w:color w:val="000000"/>
          <w:sz w:val="20"/>
          <w:szCs w:val="20"/>
        </w:rPr>
        <w:t>utilizzo in compensazione del credito d'imposta riconosciuto a favore delle imprese di autotrasporto merci</w:t>
      </w:r>
      <w:r w:rsidRPr="00944B25">
        <w:rPr>
          <w:rFonts w:ascii="Arial" w:eastAsia="Arial" w:hAnsi="Arial" w:cs="Arial"/>
          <w:color w:val="000000"/>
          <w:sz w:val="20"/>
          <w:szCs w:val="20"/>
        </w:rPr>
        <w:t xml:space="preserve">. La misura agevolativa è finalizzata a mitigare l'impatto economico derivante dall'eccezionale incremento dei costi del carburante sostenuto dalle aziende del settore. Per consentire l'utilizzo delle risorse tramite il modello F24, l'Amministrazione finanziaria ha istituito l'apposito </w:t>
      </w:r>
      <w:r w:rsidRPr="00294B08">
        <w:rPr>
          <w:rFonts w:ascii="Arial" w:eastAsia="Arial" w:hAnsi="Arial" w:cs="Arial"/>
          <w:b/>
          <w:bCs/>
          <w:color w:val="000000"/>
          <w:sz w:val="20"/>
          <w:szCs w:val="20"/>
        </w:rPr>
        <w:t>codice identificativo settoriale</w:t>
      </w:r>
      <w:r w:rsidRPr="00944B25">
        <w:rPr>
          <w:rFonts w:ascii="Arial" w:eastAsia="Arial" w:hAnsi="Arial" w:cs="Arial"/>
          <w:color w:val="000000"/>
          <w:sz w:val="20"/>
          <w:szCs w:val="20"/>
        </w:rPr>
        <w:t xml:space="preserve">, da indicare nella sezione </w:t>
      </w:r>
      <w:r w:rsidR="00294B08">
        <w:rPr>
          <w:rFonts w:ascii="Arial" w:eastAsia="Arial" w:hAnsi="Arial" w:cs="Arial"/>
          <w:color w:val="000000"/>
          <w:sz w:val="20"/>
          <w:szCs w:val="20"/>
        </w:rPr>
        <w:t>E</w:t>
      </w:r>
      <w:r w:rsidRPr="00944B25">
        <w:rPr>
          <w:rFonts w:ascii="Arial" w:eastAsia="Arial" w:hAnsi="Arial" w:cs="Arial"/>
          <w:color w:val="000000"/>
          <w:sz w:val="20"/>
          <w:szCs w:val="20"/>
        </w:rPr>
        <w:t>rario per compensare le somme spettanti nei limiti stabiliti dalla normativa vigente.</w:t>
      </w:r>
    </w:p>
    <w:p w14:paraId="64CFFF2B" w14:textId="77777777" w:rsidR="00533E21" w:rsidRPr="00944B25" w:rsidRDefault="00533E21" w:rsidP="00944B25">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944B25">
        <w:rPr>
          <w:rFonts w:ascii="Arial" w:eastAsia="Arial" w:hAnsi="Arial" w:cs="Arial"/>
          <w:color w:val="000000"/>
          <w:sz w:val="20"/>
          <w:szCs w:val="20"/>
        </w:rPr>
        <w:t xml:space="preserve">Il beneficio spetta alle </w:t>
      </w:r>
      <w:r w:rsidRPr="00294B08">
        <w:rPr>
          <w:rFonts w:ascii="Arial" w:eastAsia="Arial" w:hAnsi="Arial" w:cs="Arial"/>
          <w:b/>
          <w:bCs/>
          <w:color w:val="000000"/>
          <w:sz w:val="20"/>
          <w:szCs w:val="20"/>
        </w:rPr>
        <w:t>imprese regolarmente iscritte all'Albo nazionale degli autotrasportatori</w:t>
      </w:r>
      <w:r w:rsidRPr="00944B25">
        <w:rPr>
          <w:rFonts w:ascii="Arial" w:eastAsia="Arial" w:hAnsi="Arial" w:cs="Arial"/>
          <w:color w:val="000000"/>
          <w:sz w:val="20"/>
          <w:szCs w:val="20"/>
        </w:rPr>
        <w:t xml:space="preserve"> e si applica sulle maggiori spese sostenute per l'acquisto del gasolio impiegato per la trazione dei veicoli industriali di massa complessiva non inferiore a determinate tonnellate. L'importo utilizzabile in compensazione deve trovare riscontro nei dati resi disponibili dall'Agenzia delle Entrate all'interno del cassetto fiscale di ciascun contribuente beneficiario. Le operazioni di compensazione tramite modello F24 devono essere effettuate entro il termine perentorio del </w:t>
      </w:r>
      <w:r w:rsidRPr="00294B08">
        <w:rPr>
          <w:rFonts w:ascii="Arial" w:eastAsia="Arial" w:hAnsi="Arial" w:cs="Arial"/>
          <w:b/>
          <w:bCs/>
          <w:color w:val="000000"/>
          <w:sz w:val="20"/>
          <w:szCs w:val="20"/>
        </w:rPr>
        <w:t>31 dicembre 2026</w:t>
      </w:r>
      <w:r w:rsidRPr="00944B25">
        <w:rPr>
          <w:rFonts w:ascii="Arial" w:eastAsia="Arial" w:hAnsi="Arial" w:cs="Arial"/>
          <w:color w:val="000000"/>
          <w:sz w:val="20"/>
          <w:szCs w:val="20"/>
        </w:rPr>
        <w:t>, termine oltre il quale l'eventuale credito residuo non potrà più essere speso in questa forma. Gli operatori economici sono pertanto invitati a verificare tempestivamente la correttezza delle posizioni contabili e l'effettiva disponibilità degli importi nella propria area riservata per pianificare correttamente i pagamenti fiscali di fine anno.</w:t>
      </w:r>
    </w:p>
    <w:p w14:paraId="43105DF8" w14:textId="77777777" w:rsidR="0093709F" w:rsidRPr="00944B25" w:rsidRDefault="0093709F" w:rsidP="00944B25">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1F167CFE" w14:textId="77777777" w:rsidR="00C766F7" w:rsidRPr="00944B25" w:rsidRDefault="00C766F7" w:rsidP="00944B25">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1AF03AE8" w14:textId="23272131" w:rsidR="0038099C" w:rsidRPr="0038099C" w:rsidRDefault="0038099C" w:rsidP="0038099C">
      <w:pPr>
        <w:shd w:val="clear" w:color="auto" w:fill="FFFFFF"/>
        <w:overflowPunct w:val="0"/>
        <w:autoSpaceDE w:val="0"/>
        <w:autoSpaceDN w:val="0"/>
        <w:adjustRightInd w:val="0"/>
        <w:spacing w:line="300" w:lineRule="atLeast"/>
        <w:ind w:left="0" w:hanging="2"/>
        <w:jc w:val="both"/>
        <w:textAlignment w:val="baseline"/>
        <w:rPr>
          <w:rFonts w:ascii="Calibri" w:eastAsia="Aptos" w:hAnsi="Calibri" w:cs="Arial"/>
          <w:color w:val="0F0F0F"/>
          <w:kern w:val="2"/>
          <w:sz w:val="22"/>
          <w:szCs w:val="22"/>
          <w:lang w:eastAsia="en-US"/>
        </w:rPr>
      </w:pPr>
      <w:r w:rsidRPr="0038099C">
        <w:rPr>
          <w:rFonts w:ascii="Calibri" w:eastAsia="Aptos" w:hAnsi="Calibri" w:cs="Arial"/>
          <w:color w:val="0F0F0F"/>
          <w:kern w:val="2"/>
          <w:sz w:val="22"/>
          <w:szCs w:val="22"/>
          <w:lang w:eastAsia="en-US"/>
        </w:rPr>
        <w:t>IMPOSTE SUI REDDITI</w:t>
      </w:r>
    </w:p>
    <w:p w14:paraId="6CC52AE1" w14:textId="24A6B352" w:rsidR="003F346D" w:rsidRPr="0038099C" w:rsidRDefault="0038099C" w:rsidP="0038099C">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b/>
          <w:bCs/>
          <w:color w:val="000000"/>
          <w:sz w:val="20"/>
          <w:szCs w:val="20"/>
        </w:rPr>
      </w:pPr>
      <w:r w:rsidRPr="0038099C">
        <w:rPr>
          <w:rFonts w:ascii="Arial" w:eastAsia="Arial" w:hAnsi="Arial" w:cs="Arial"/>
          <w:b/>
          <w:bCs/>
          <w:color w:val="000000"/>
          <w:sz w:val="20"/>
          <w:szCs w:val="20"/>
        </w:rPr>
        <w:t>L</w:t>
      </w:r>
      <w:r w:rsidR="003F346D" w:rsidRPr="0038099C">
        <w:rPr>
          <w:rFonts w:ascii="Arial" w:eastAsia="Arial" w:hAnsi="Arial" w:cs="Arial"/>
          <w:b/>
          <w:bCs/>
          <w:color w:val="000000"/>
          <w:sz w:val="20"/>
          <w:szCs w:val="20"/>
        </w:rPr>
        <w:t>'Agenzia delle Entrate conferma l'indeducibilità degli interessi da ravvedimento operoso</w:t>
      </w:r>
    </w:p>
    <w:p w14:paraId="3CAA5925" w14:textId="7AF0752C" w:rsidR="0038099C" w:rsidRPr="0038099C" w:rsidRDefault="0038099C" w:rsidP="0038099C">
      <w:pPr>
        <w:pBdr>
          <w:top w:val="nil"/>
          <w:left w:val="nil"/>
          <w:bottom w:val="nil"/>
          <w:right w:val="nil"/>
          <w:between w:val="nil"/>
        </w:pBdr>
        <w:tabs>
          <w:tab w:val="left" w:pos="2160"/>
          <w:tab w:val="left" w:pos="3168"/>
          <w:tab w:val="left" w:pos="4838"/>
        </w:tabs>
        <w:spacing w:line="300" w:lineRule="atLeast"/>
        <w:ind w:left="0" w:hanging="2"/>
        <w:jc w:val="both"/>
        <w:rPr>
          <w:rFonts w:ascii="Arial" w:hAnsi="Arial" w:cs="Arial"/>
          <w:i/>
          <w:iCs/>
          <w:color w:val="000000"/>
          <w:sz w:val="20"/>
          <w:szCs w:val="20"/>
        </w:rPr>
      </w:pPr>
      <w:r w:rsidRPr="0038099C">
        <w:rPr>
          <w:rFonts w:ascii="Arial" w:hAnsi="Arial" w:cs="Arial"/>
          <w:i/>
          <w:iCs/>
          <w:color w:val="000000"/>
          <w:sz w:val="20"/>
          <w:szCs w:val="20"/>
        </w:rPr>
        <w:t>Agenzia delle Entrate, Risposta a istanza di interpello 1</w:t>
      </w:r>
      <w:r>
        <w:rPr>
          <w:rFonts w:ascii="Arial" w:hAnsi="Arial" w:cs="Arial"/>
          <w:i/>
          <w:iCs/>
          <w:color w:val="000000"/>
          <w:sz w:val="20"/>
          <w:szCs w:val="20"/>
        </w:rPr>
        <w:t>5 ottobre</w:t>
      </w:r>
      <w:r w:rsidRPr="0038099C">
        <w:rPr>
          <w:rFonts w:ascii="Arial" w:hAnsi="Arial" w:cs="Arial"/>
          <w:i/>
          <w:iCs/>
          <w:color w:val="000000"/>
          <w:sz w:val="20"/>
          <w:szCs w:val="20"/>
        </w:rPr>
        <w:t xml:space="preserve"> 202</w:t>
      </w:r>
      <w:r>
        <w:rPr>
          <w:rFonts w:ascii="Arial" w:hAnsi="Arial" w:cs="Arial"/>
          <w:i/>
          <w:iCs/>
          <w:color w:val="000000"/>
          <w:sz w:val="20"/>
          <w:szCs w:val="20"/>
        </w:rPr>
        <w:t>6</w:t>
      </w:r>
      <w:r w:rsidRPr="0038099C">
        <w:rPr>
          <w:rFonts w:ascii="Arial" w:hAnsi="Arial" w:cs="Arial"/>
          <w:i/>
          <w:iCs/>
          <w:color w:val="000000"/>
          <w:sz w:val="20"/>
          <w:szCs w:val="20"/>
        </w:rPr>
        <w:t xml:space="preserve">, n. </w:t>
      </w:r>
      <w:r>
        <w:rPr>
          <w:rFonts w:ascii="Arial" w:hAnsi="Arial" w:cs="Arial"/>
          <w:i/>
          <w:iCs/>
          <w:color w:val="000000"/>
          <w:sz w:val="20"/>
          <w:szCs w:val="20"/>
        </w:rPr>
        <w:t>185</w:t>
      </w:r>
    </w:p>
    <w:p w14:paraId="7554419D" w14:textId="30FDA30D" w:rsidR="003F346D" w:rsidRPr="0038099C" w:rsidRDefault="003F346D" w:rsidP="0038099C">
      <w:pPr>
        <w:pBdr>
          <w:top w:val="nil"/>
          <w:left w:val="nil"/>
          <w:bottom w:val="nil"/>
          <w:right w:val="nil"/>
          <w:between w:val="nil"/>
        </w:pBdr>
        <w:tabs>
          <w:tab w:val="left" w:pos="2160"/>
          <w:tab w:val="left" w:pos="3168"/>
          <w:tab w:val="left" w:pos="4838"/>
        </w:tabs>
        <w:spacing w:line="300" w:lineRule="atLeast"/>
        <w:ind w:left="0" w:hanging="2"/>
        <w:jc w:val="both"/>
        <w:rPr>
          <w:rFonts w:ascii="Arial" w:hAnsi="Arial" w:cs="Arial"/>
          <w:color w:val="000000"/>
          <w:sz w:val="20"/>
          <w:szCs w:val="20"/>
        </w:rPr>
      </w:pPr>
      <w:r w:rsidRPr="0038099C">
        <w:rPr>
          <w:rFonts w:ascii="Arial" w:hAnsi="Arial" w:cs="Arial"/>
          <w:color w:val="000000"/>
          <w:sz w:val="20"/>
          <w:szCs w:val="20"/>
        </w:rPr>
        <w:t>L'Agenzia delle Entrate ha fornito chiarimenti determinanti in ordine al regime di deducibilità fiscale degli oneri accessori derivanti da procedure di regolarizzazione spontanea. Mediante una specifica risposta a interpello, l'</w:t>
      </w:r>
      <w:r w:rsidR="0038099C">
        <w:rPr>
          <w:rFonts w:ascii="Arial" w:hAnsi="Arial" w:cs="Arial"/>
          <w:color w:val="000000"/>
          <w:sz w:val="20"/>
          <w:szCs w:val="20"/>
        </w:rPr>
        <w:t>A</w:t>
      </w:r>
      <w:r w:rsidRPr="0038099C">
        <w:rPr>
          <w:rFonts w:ascii="Arial" w:hAnsi="Arial" w:cs="Arial"/>
          <w:color w:val="000000"/>
          <w:sz w:val="20"/>
          <w:szCs w:val="20"/>
        </w:rPr>
        <w:t xml:space="preserve">mministrazione finanziaria ha ribadito che </w:t>
      </w:r>
      <w:r w:rsidRPr="0038099C">
        <w:rPr>
          <w:rFonts w:ascii="Arial" w:hAnsi="Arial" w:cs="Arial"/>
          <w:b/>
          <w:bCs/>
          <w:color w:val="000000"/>
          <w:sz w:val="20"/>
          <w:szCs w:val="20"/>
        </w:rPr>
        <w:t>gli interessi versati in sede di ravvedimento operoso sono oggettivamente indeducibili</w:t>
      </w:r>
      <w:r w:rsidRPr="0038099C">
        <w:rPr>
          <w:rFonts w:ascii="Arial" w:hAnsi="Arial" w:cs="Arial"/>
          <w:color w:val="000000"/>
          <w:sz w:val="20"/>
          <w:szCs w:val="20"/>
        </w:rPr>
        <w:t xml:space="preserve"> ai fini delle imposte sui redditi, condividendo la medesima natura e il trattamento fiscale dell'obbligazione tributaria principale a cui accedono.</w:t>
      </w:r>
    </w:p>
    <w:p w14:paraId="3A1051C9" w14:textId="77777777" w:rsidR="00E57228" w:rsidRDefault="003F346D" w:rsidP="0038099C">
      <w:pPr>
        <w:pBdr>
          <w:top w:val="nil"/>
          <w:left w:val="nil"/>
          <w:bottom w:val="nil"/>
          <w:right w:val="nil"/>
          <w:between w:val="nil"/>
        </w:pBdr>
        <w:tabs>
          <w:tab w:val="left" w:pos="2160"/>
          <w:tab w:val="left" w:pos="3168"/>
          <w:tab w:val="left" w:pos="4838"/>
        </w:tabs>
        <w:spacing w:line="300" w:lineRule="atLeast"/>
        <w:ind w:left="0" w:hanging="2"/>
        <w:jc w:val="both"/>
        <w:rPr>
          <w:rFonts w:ascii="Arial" w:hAnsi="Arial" w:cs="Arial"/>
          <w:color w:val="000000"/>
          <w:sz w:val="20"/>
          <w:szCs w:val="20"/>
        </w:rPr>
      </w:pPr>
      <w:r w:rsidRPr="0038099C">
        <w:rPr>
          <w:rFonts w:ascii="Arial" w:hAnsi="Arial" w:cs="Arial"/>
          <w:color w:val="000000"/>
          <w:sz w:val="20"/>
          <w:szCs w:val="20"/>
        </w:rPr>
        <w:t>Il fondamento giuridico risiede nel vincolo di accessorietà che lega gli interessi moratori da ritardato pagamento all'imposta non versata tempestivamente. Tale accessorietà comporta l'estensione del regime di indeducibilità oggettiva previsto per il tributo anche agli importi corrisposti a titolo di sanzione ridotta e interessi, superando ogni discussione circa la loro eventuale assoggettabilità ai limiti di deducibilità previsti per gli interessi passivi finanziari.</w:t>
      </w:r>
    </w:p>
    <w:p w14:paraId="32EB47F7" w14:textId="60305A98" w:rsidR="003F346D" w:rsidRPr="0038099C" w:rsidRDefault="003F346D" w:rsidP="0038099C">
      <w:pPr>
        <w:pBdr>
          <w:top w:val="nil"/>
          <w:left w:val="nil"/>
          <w:bottom w:val="nil"/>
          <w:right w:val="nil"/>
          <w:between w:val="nil"/>
        </w:pBdr>
        <w:tabs>
          <w:tab w:val="left" w:pos="2160"/>
          <w:tab w:val="left" w:pos="3168"/>
          <w:tab w:val="left" w:pos="4838"/>
        </w:tabs>
        <w:spacing w:line="300" w:lineRule="atLeast"/>
        <w:ind w:left="0" w:hanging="2"/>
        <w:jc w:val="both"/>
        <w:rPr>
          <w:rFonts w:ascii="Arial" w:hAnsi="Arial" w:cs="Arial"/>
          <w:color w:val="000000"/>
          <w:sz w:val="20"/>
          <w:szCs w:val="20"/>
        </w:rPr>
      </w:pPr>
      <w:r w:rsidRPr="0038099C">
        <w:rPr>
          <w:rFonts w:ascii="Arial" w:hAnsi="Arial" w:cs="Arial"/>
          <w:color w:val="000000"/>
          <w:sz w:val="20"/>
          <w:szCs w:val="20"/>
        </w:rPr>
        <w:t xml:space="preserve">Nel medesimo contesto interpretativo, l'Agenzia ha invece confermato la piena </w:t>
      </w:r>
      <w:r w:rsidRPr="00E57228">
        <w:rPr>
          <w:rFonts w:ascii="Arial" w:hAnsi="Arial" w:cs="Arial"/>
          <w:b/>
          <w:bCs/>
          <w:color w:val="000000"/>
          <w:sz w:val="20"/>
          <w:szCs w:val="20"/>
        </w:rPr>
        <w:t>deducibilità degli interessi scaturenti da atti di conciliazione giudiziale</w:t>
      </w:r>
      <w:r w:rsidRPr="0038099C">
        <w:rPr>
          <w:rFonts w:ascii="Arial" w:hAnsi="Arial" w:cs="Arial"/>
          <w:color w:val="000000"/>
          <w:sz w:val="20"/>
          <w:szCs w:val="20"/>
        </w:rPr>
        <w:t>, in quanto qualificabili come componenti negativi connessi alla definizione della pendenza tributaria e non riconducibili a rapporti di natura finanziaria.</w:t>
      </w:r>
    </w:p>
    <w:p w14:paraId="6CE727B3" w14:textId="0A4D998D" w:rsidR="007F1556" w:rsidRPr="0038099C" w:rsidRDefault="003F346D" w:rsidP="0038099C">
      <w:pPr>
        <w:pBdr>
          <w:top w:val="nil"/>
          <w:left w:val="nil"/>
          <w:bottom w:val="nil"/>
          <w:right w:val="nil"/>
          <w:between w:val="nil"/>
        </w:pBdr>
        <w:tabs>
          <w:tab w:val="left" w:pos="2160"/>
          <w:tab w:val="left" w:pos="3168"/>
          <w:tab w:val="left" w:pos="4838"/>
        </w:tabs>
        <w:spacing w:line="300" w:lineRule="atLeast"/>
        <w:ind w:left="0" w:hanging="2"/>
        <w:jc w:val="both"/>
        <w:rPr>
          <w:rFonts w:ascii="Arial" w:hAnsi="Arial" w:cs="Arial"/>
          <w:color w:val="000000"/>
          <w:sz w:val="20"/>
          <w:szCs w:val="20"/>
        </w:rPr>
      </w:pPr>
      <w:r w:rsidRPr="0038099C">
        <w:rPr>
          <w:rFonts w:ascii="Arial" w:hAnsi="Arial" w:cs="Arial"/>
          <w:color w:val="000000"/>
          <w:sz w:val="20"/>
          <w:szCs w:val="20"/>
        </w:rPr>
        <w:t>La presa di posizione ufficiale impone un'attenta verifica nella fase di predisposizione delle dichiarazioni dei redditi societarie. I contribuenti e i professionisti incaricati della gestione contabile devono prestare la massima attenzione alla corretta classificazione e sterilizzazione fiscale degli oneri accessori da ravvedimento, distinguendoli nettamente dalle passività finanziarie deducibili, al fine di prevenire contestazioni in sede di controllo formale e accertamento.</w:t>
      </w:r>
    </w:p>
    <w:p w14:paraId="55948E29" w14:textId="77777777" w:rsidR="003F346D" w:rsidRPr="0038099C" w:rsidRDefault="003F346D" w:rsidP="0038099C">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65F1C2F7" w14:textId="77777777" w:rsidR="0093709F" w:rsidRPr="0038099C" w:rsidRDefault="0093709F" w:rsidP="0038099C">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4772E717" w14:textId="0D4FAAA2" w:rsidR="00E57228" w:rsidRPr="00E57228" w:rsidRDefault="00E57228" w:rsidP="00E57228">
      <w:pPr>
        <w:shd w:val="clear" w:color="auto" w:fill="FFFFFF"/>
        <w:overflowPunct w:val="0"/>
        <w:autoSpaceDE w:val="0"/>
        <w:autoSpaceDN w:val="0"/>
        <w:adjustRightInd w:val="0"/>
        <w:spacing w:line="300" w:lineRule="atLeast"/>
        <w:ind w:left="0" w:hanging="2"/>
        <w:jc w:val="both"/>
        <w:textAlignment w:val="baseline"/>
        <w:rPr>
          <w:rFonts w:ascii="Calibri" w:eastAsia="Aptos" w:hAnsi="Calibri" w:cs="Arial"/>
          <w:color w:val="0F0F0F"/>
          <w:kern w:val="2"/>
          <w:sz w:val="22"/>
          <w:szCs w:val="22"/>
          <w:lang w:eastAsia="en-US"/>
        </w:rPr>
      </w:pPr>
      <w:r w:rsidRPr="00E57228">
        <w:rPr>
          <w:rFonts w:ascii="Calibri" w:eastAsia="Aptos" w:hAnsi="Calibri" w:cs="Arial"/>
          <w:color w:val="0F0F0F"/>
          <w:kern w:val="2"/>
          <w:sz w:val="22"/>
          <w:szCs w:val="22"/>
          <w:lang w:eastAsia="en-US"/>
        </w:rPr>
        <w:t>RIFORMA FISCALE</w:t>
      </w:r>
    </w:p>
    <w:p w14:paraId="07F2B692" w14:textId="77777777" w:rsidR="002804BA" w:rsidRPr="00E57228" w:rsidRDefault="002804BA" w:rsidP="00E5722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b/>
          <w:bCs/>
          <w:color w:val="000000"/>
          <w:sz w:val="20"/>
          <w:szCs w:val="20"/>
        </w:rPr>
      </w:pPr>
      <w:r w:rsidRPr="00E57228">
        <w:rPr>
          <w:rFonts w:ascii="Arial" w:eastAsia="Arial" w:hAnsi="Arial" w:cs="Arial"/>
          <w:b/>
          <w:bCs/>
          <w:color w:val="000000"/>
          <w:sz w:val="20"/>
          <w:szCs w:val="20"/>
        </w:rPr>
        <w:t>“TrovaTU”: la piattaforma del MEF per navigare tra i nuovi Testi Unici</w:t>
      </w:r>
    </w:p>
    <w:p w14:paraId="04A14888" w14:textId="3F75D585" w:rsidR="002804BA" w:rsidRPr="00E57228" w:rsidRDefault="002804BA" w:rsidP="00E5722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E57228">
        <w:rPr>
          <w:rFonts w:ascii="Arial" w:eastAsia="Arial" w:hAnsi="Arial" w:cs="Arial"/>
          <w:color w:val="000000"/>
          <w:sz w:val="20"/>
          <w:szCs w:val="20"/>
        </w:rPr>
        <w:t>Il Ministero dell’Economia e delle Finanze ha reso operativo</w:t>
      </w:r>
      <w:r w:rsidR="00E57228">
        <w:rPr>
          <w:rFonts w:ascii="Arial" w:eastAsia="Arial" w:hAnsi="Arial" w:cs="Arial"/>
          <w:color w:val="000000"/>
          <w:sz w:val="20"/>
          <w:szCs w:val="20"/>
        </w:rPr>
        <w:t xml:space="preserve"> </w:t>
      </w:r>
      <w:r w:rsidRPr="00E57228">
        <w:rPr>
          <w:rFonts w:ascii="Arial" w:eastAsia="Arial" w:hAnsi="Arial" w:cs="Arial"/>
          <w:sz w:val="20"/>
          <w:szCs w:val="20"/>
        </w:rPr>
        <w:t>TrovaTU</w:t>
      </w:r>
      <w:r w:rsidRPr="00E57228">
        <w:rPr>
          <w:rFonts w:ascii="Arial" w:eastAsia="Arial" w:hAnsi="Arial" w:cs="Arial"/>
          <w:color w:val="000000"/>
          <w:sz w:val="20"/>
          <w:szCs w:val="20"/>
        </w:rPr>
        <w:t>, l'applicativo web concepito per guidare contribuenti, imprese e professionisti all'interno della riforma tributaria.</w:t>
      </w:r>
    </w:p>
    <w:p w14:paraId="3A6830AB" w14:textId="0FE99B49" w:rsidR="002804BA" w:rsidRPr="00E57228" w:rsidRDefault="002804BA" w:rsidP="00E5722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E57228">
        <w:rPr>
          <w:rFonts w:ascii="Arial" w:eastAsia="Arial" w:hAnsi="Arial" w:cs="Arial"/>
          <w:color w:val="000000"/>
          <w:sz w:val="20"/>
          <w:szCs w:val="20"/>
        </w:rPr>
        <w:t xml:space="preserve">La piattaforma funge da </w:t>
      </w:r>
      <w:r w:rsidRPr="00E57228">
        <w:rPr>
          <w:rFonts w:ascii="Arial" w:eastAsia="Arial" w:hAnsi="Arial" w:cs="Arial"/>
          <w:b/>
          <w:bCs/>
          <w:color w:val="000000"/>
          <w:sz w:val="20"/>
          <w:szCs w:val="20"/>
        </w:rPr>
        <w:t xml:space="preserve">raccordo per la transizione verso gli 8 Testi </w:t>
      </w:r>
      <w:r w:rsidR="00E57228">
        <w:rPr>
          <w:rFonts w:ascii="Arial" w:eastAsia="Arial" w:hAnsi="Arial" w:cs="Arial"/>
          <w:b/>
          <w:bCs/>
          <w:color w:val="000000"/>
          <w:sz w:val="20"/>
          <w:szCs w:val="20"/>
        </w:rPr>
        <w:t>U</w:t>
      </w:r>
      <w:r w:rsidRPr="00E57228">
        <w:rPr>
          <w:rFonts w:ascii="Arial" w:eastAsia="Arial" w:hAnsi="Arial" w:cs="Arial"/>
          <w:b/>
          <w:bCs/>
          <w:color w:val="000000"/>
          <w:sz w:val="20"/>
          <w:szCs w:val="20"/>
        </w:rPr>
        <w:t>nici fiscali</w:t>
      </w:r>
      <w:r w:rsidRPr="00E57228">
        <w:rPr>
          <w:rFonts w:ascii="Arial" w:eastAsia="Arial" w:hAnsi="Arial" w:cs="Arial"/>
          <w:color w:val="000000"/>
          <w:sz w:val="20"/>
          <w:szCs w:val="20"/>
        </w:rPr>
        <w:t xml:space="preserve"> che, pur essendo già in vigore, diverranno pienamente efficaci a partire </w:t>
      </w:r>
      <w:r w:rsidRPr="00E57228">
        <w:rPr>
          <w:rFonts w:ascii="Arial" w:eastAsia="Arial" w:hAnsi="Arial" w:cs="Arial"/>
          <w:b/>
          <w:bCs/>
          <w:color w:val="000000"/>
          <w:sz w:val="20"/>
          <w:szCs w:val="20"/>
        </w:rPr>
        <w:t>dal 1° gennaio 2027</w:t>
      </w:r>
      <w:r w:rsidRPr="00E57228">
        <w:rPr>
          <w:rFonts w:ascii="Arial" w:eastAsia="Arial" w:hAnsi="Arial" w:cs="Arial"/>
          <w:color w:val="000000"/>
          <w:sz w:val="20"/>
          <w:szCs w:val="20"/>
        </w:rPr>
        <w:t>, portando a compimento il riordino organico di oltre 440 disposizioni legislative.</w:t>
      </w:r>
    </w:p>
    <w:p w14:paraId="4A1FF0DA" w14:textId="100B8FDB" w:rsidR="002804BA" w:rsidRPr="00E57228" w:rsidRDefault="002804BA" w:rsidP="00E5722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E57228">
        <w:rPr>
          <w:rFonts w:ascii="Arial" w:eastAsia="Arial" w:hAnsi="Arial" w:cs="Arial"/>
          <w:color w:val="000000"/>
          <w:sz w:val="20"/>
          <w:szCs w:val="20"/>
        </w:rPr>
        <w:t xml:space="preserve">Dal punto di vista funzionale, l'interfaccia consente una ricerca puntuale impostando gli estremi del provvedimento di interesse (anno, numero, articolo, comma ed eventuali allegati). Il sistema restituisce le corrispondenze evidenziando in verde il collegamento con i nuovi Testi </w:t>
      </w:r>
      <w:r w:rsidR="00E57228">
        <w:rPr>
          <w:rFonts w:ascii="Arial" w:eastAsia="Arial" w:hAnsi="Arial" w:cs="Arial"/>
          <w:color w:val="000000"/>
          <w:sz w:val="20"/>
          <w:szCs w:val="20"/>
        </w:rPr>
        <w:t>U</w:t>
      </w:r>
      <w:r w:rsidRPr="00E57228">
        <w:rPr>
          <w:rFonts w:ascii="Arial" w:eastAsia="Arial" w:hAnsi="Arial" w:cs="Arial"/>
          <w:color w:val="000000"/>
          <w:sz w:val="20"/>
          <w:szCs w:val="20"/>
        </w:rPr>
        <w:t>nici e mettendo a disposizione la visualizzazione "testo a fronte": una modalità a schermo condiviso che permette di confrontare istantaneamente la norma vigente con quella applicabile dal 2027, con facoltà di esportare i risultati in formato PDF o stamparli.</w:t>
      </w:r>
    </w:p>
    <w:p w14:paraId="45AB2525" w14:textId="77777777" w:rsidR="003D4BD1" w:rsidRPr="00E57228" w:rsidRDefault="003D4BD1" w:rsidP="00E5722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52B7CDDF" w14:textId="77777777" w:rsidR="003D4BD1" w:rsidRPr="00E57228" w:rsidRDefault="003D4BD1" w:rsidP="00E5722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06FA2D1C" w14:textId="77777777" w:rsidR="00E57228" w:rsidRPr="00DD1E32" w:rsidRDefault="00E57228" w:rsidP="00E57228">
      <w:pPr>
        <w:shd w:val="clear" w:color="auto" w:fill="FFFFFF"/>
        <w:overflowPunct w:val="0"/>
        <w:autoSpaceDE w:val="0"/>
        <w:autoSpaceDN w:val="0"/>
        <w:adjustRightInd w:val="0"/>
        <w:spacing w:line="300" w:lineRule="atLeast"/>
        <w:ind w:left="0" w:hanging="2"/>
        <w:jc w:val="both"/>
        <w:textAlignment w:val="baseline"/>
        <w:rPr>
          <w:rFonts w:ascii="Calibri" w:eastAsia="Aptos" w:hAnsi="Calibri" w:cs="Arial"/>
          <w:color w:val="0F0F0F"/>
          <w:kern w:val="2"/>
          <w:sz w:val="22"/>
          <w:szCs w:val="22"/>
          <w:lang w:eastAsia="en-US"/>
        </w:rPr>
      </w:pPr>
      <w:r w:rsidRPr="00DD1E32">
        <w:rPr>
          <w:rFonts w:ascii="Calibri" w:eastAsia="Aptos" w:hAnsi="Calibri" w:cs="Arial"/>
          <w:color w:val="0F0F0F"/>
          <w:kern w:val="2"/>
          <w:sz w:val="22"/>
          <w:szCs w:val="22"/>
          <w:lang w:eastAsia="en-US"/>
        </w:rPr>
        <w:t>ACCERTAMENTO E RISCOSSIONE</w:t>
      </w:r>
    </w:p>
    <w:p w14:paraId="27CBB803" w14:textId="77777777" w:rsidR="002804BA" w:rsidRPr="00E57228" w:rsidRDefault="002804BA" w:rsidP="00E5722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b/>
          <w:bCs/>
          <w:color w:val="000000"/>
          <w:sz w:val="20"/>
          <w:szCs w:val="20"/>
        </w:rPr>
      </w:pPr>
      <w:r w:rsidRPr="00085C3A">
        <w:rPr>
          <w:rFonts w:ascii="Arial" w:eastAsia="Arial" w:hAnsi="Arial" w:cs="Arial"/>
          <w:b/>
          <w:bCs/>
          <w:color w:val="000000"/>
          <w:sz w:val="20"/>
          <w:szCs w:val="20"/>
        </w:rPr>
        <w:t>Rottamazione-quinquies delle entrate locali: operativi i termini per la presentazione delle istanze</w:t>
      </w:r>
    </w:p>
    <w:p w14:paraId="517B9830" w14:textId="00ED2776" w:rsidR="00085C3A" w:rsidRPr="00085C3A" w:rsidRDefault="00085C3A" w:rsidP="00085C3A">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i/>
          <w:iCs/>
          <w:color w:val="000000"/>
          <w:sz w:val="20"/>
          <w:szCs w:val="20"/>
        </w:rPr>
      </w:pPr>
      <w:r w:rsidRPr="00085C3A">
        <w:rPr>
          <w:rFonts w:ascii="Arial" w:eastAsia="Arial" w:hAnsi="Arial" w:cs="Arial"/>
          <w:i/>
          <w:iCs/>
          <w:color w:val="000000"/>
          <w:sz w:val="20"/>
          <w:szCs w:val="20"/>
        </w:rPr>
        <w:t>Agenzia delle Entrate - Riscossione, FAQ 15 ottobre 2026</w:t>
      </w:r>
    </w:p>
    <w:p w14:paraId="211EBC15" w14:textId="2A2BDA6F" w:rsidR="002804BA" w:rsidRPr="00E57228" w:rsidRDefault="002804BA" w:rsidP="00E5722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E57228">
        <w:rPr>
          <w:rFonts w:ascii="Arial" w:eastAsia="Arial" w:hAnsi="Arial" w:cs="Arial"/>
          <w:color w:val="000000"/>
          <w:sz w:val="20"/>
          <w:szCs w:val="20"/>
        </w:rPr>
        <w:lastRenderedPageBreak/>
        <w:t xml:space="preserve">Prende ufficialmente il via la procedura per l'accesso alla definizione agevolata dei carichi affidati agli agenti della riscossione dagli enti territoriali, nota come rottamazione-quinquies. La misura, disciplinata dalla legge di </w:t>
      </w:r>
      <w:r w:rsidR="00085C3A">
        <w:rPr>
          <w:rFonts w:ascii="Arial" w:eastAsia="Arial" w:hAnsi="Arial" w:cs="Arial"/>
          <w:color w:val="000000"/>
          <w:sz w:val="20"/>
          <w:szCs w:val="20"/>
        </w:rPr>
        <w:t>B</w:t>
      </w:r>
      <w:r w:rsidRPr="00E57228">
        <w:rPr>
          <w:rFonts w:ascii="Arial" w:eastAsia="Arial" w:hAnsi="Arial" w:cs="Arial"/>
          <w:color w:val="000000"/>
          <w:sz w:val="20"/>
          <w:szCs w:val="20"/>
        </w:rPr>
        <w:t>ilancio 2026, interessa i debiti tributari e non tributari affidati dal 2000 al 2023. Tra i carichi definibili rientrano imposte locali come IMU e TARI, ma anche sanzioni del Codice della strada, rette scolastiche e altre tariffe comunali o regionali.</w:t>
      </w:r>
    </w:p>
    <w:p w14:paraId="3322318B" w14:textId="56ACD34E" w:rsidR="002804BA" w:rsidRPr="00E57228" w:rsidRDefault="002804BA" w:rsidP="00E5722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085C3A">
        <w:rPr>
          <w:rFonts w:ascii="Arial" w:eastAsia="Arial" w:hAnsi="Arial" w:cs="Arial"/>
          <w:color w:val="000000"/>
          <w:sz w:val="20"/>
          <w:szCs w:val="20"/>
        </w:rPr>
        <w:t xml:space="preserve">A partire </w:t>
      </w:r>
      <w:r w:rsidRPr="00E57228">
        <w:rPr>
          <w:rFonts w:ascii="Arial" w:eastAsia="Arial" w:hAnsi="Arial" w:cs="Arial"/>
          <w:b/>
          <w:bCs/>
          <w:color w:val="000000"/>
          <w:sz w:val="20"/>
          <w:szCs w:val="20"/>
        </w:rPr>
        <w:t>dal 16 ottobre 2026 e fino al termine stabilito del 15 dicembre 2026</w:t>
      </w:r>
      <w:r w:rsidRPr="00E57228">
        <w:rPr>
          <w:rFonts w:ascii="Arial" w:eastAsia="Arial" w:hAnsi="Arial" w:cs="Arial"/>
          <w:color w:val="000000"/>
          <w:sz w:val="20"/>
          <w:szCs w:val="20"/>
        </w:rPr>
        <w:t>, i contribuenti interessati possono presentare la relativa domanda di adesione. Sul portale istituzionale dell'</w:t>
      </w:r>
      <w:r w:rsidR="00085C3A">
        <w:rPr>
          <w:rFonts w:ascii="Arial" w:eastAsia="Arial" w:hAnsi="Arial" w:cs="Arial"/>
          <w:color w:val="000000"/>
          <w:sz w:val="20"/>
          <w:szCs w:val="20"/>
        </w:rPr>
        <w:t>a</w:t>
      </w:r>
      <w:r w:rsidRPr="00E57228">
        <w:rPr>
          <w:rFonts w:ascii="Arial" w:eastAsia="Arial" w:hAnsi="Arial" w:cs="Arial"/>
          <w:color w:val="000000"/>
          <w:sz w:val="20"/>
          <w:szCs w:val="20"/>
        </w:rPr>
        <w:t>gente della riscossione è preventivamente disponibile l'elenco degli enti che hanno aderito alla misura, consentendo di verificare la presenza dei propri carichi. Sempre tramite l'area pubblica o riservata del sito, i contribuenti possono richiedere il prospetto informativo contenente il dettaglio delle somme dovute.</w:t>
      </w:r>
    </w:p>
    <w:p w14:paraId="41D37903" w14:textId="3F3332AD" w:rsidR="002804BA" w:rsidRPr="00E57228" w:rsidRDefault="002804BA" w:rsidP="00E5722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E57228">
        <w:rPr>
          <w:rFonts w:ascii="Arial" w:eastAsia="Arial" w:hAnsi="Arial" w:cs="Arial"/>
          <w:color w:val="000000"/>
          <w:sz w:val="20"/>
          <w:szCs w:val="20"/>
        </w:rPr>
        <w:t xml:space="preserve">L'adesione alla misura consente di estinguere i debiti usufruendo dell'annullamento di sanzioni e interessi di mora, ferma restando la debenza delle somme sorte a titolo di capitale e delle spese di notifica ed esecutive. La presentazione dell'istanza rappresenta un'opportunità rilevante per </w:t>
      </w:r>
      <w:r w:rsidRPr="00085C3A">
        <w:rPr>
          <w:rFonts w:ascii="Arial" w:eastAsia="Arial" w:hAnsi="Arial" w:cs="Arial"/>
          <w:b/>
          <w:bCs/>
          <w:color w:val="000000"/>
          <w:sz w:val="20"/>
          <w:szCs w:val="20"/>
        </w:rPr>
        <w:t>regolarizzare la propria posizione debitoria nei confronti degli enti territoriali</w:t>
      </w:r>
      <w:r w:rsidRPr="00E57228">
        <w:rPr>
          <w:rFonts w:ascii="Arial" w:eastAsia="Arial" w:hAnsi="Arial" w:cs="Arial"/>
          <w:color w:val="000000"/>
          <w:sz w:val="20"/>
          <w:szCs w:val="20"/>
        </w:rPr>
        <w:t xml:space="preserve">, beneficiando di modalità di </w:t>
      </w:r>
      <w:r w:rsidRPr="00085C3A">
        <w:rPr>
          <w:rFonts w:ascii="Arial" w:eastAsia="Arial" w:hAnsi="Arial" w:cs="Arial"/>
          <w:b/>
          <w:bCs/>
          <w:color w:val="000000"/>
          <w:sz w:val="20"/>
          <w:szCs w:val="20"/>
        </w:rPr>
        <w:t>pagamento rateale</w:t>
      </w:r>
      <w:r w:rsidRPr="00E57228">
        <w:rPr>
          <w:rFonts w:ascii="Arial" w:eastAsia="Arial" w:hAnsi="Arial" w:cs="Arial"/>
          <w:color w:val="000000"/>
          <w:sz w:val="20"/>
          <w:szCs w:val="20"/>
        </w:rPr>
        <w:t xml:space="preserve"> che prenderanno avvio dal 2027, alleggerendo così il carico finanziario di contribuenti, famiglie e imprese</w:t>
      </w:r>
      <w:r w:rsidR="00085C3A">
        <w:rPr>
          <w:rFonts w:ascii="Arial" w:eastAsia="Arial" w:hAnsi="Arial" w:cs="Arial"/>
          <w:color w:val="000000"/>
          <w:sz w:val="20"/>
          <w:szCs w:val="20"/>
        </w:rPr>
        <w:t>.</w:t>
      </w:r>
    </w:p>
    <w:p w14:paraId="673A1E63" w14:textId="77777777" w:rsidR="0093709F" w:rsidRPr="00E57228" w:rsidRDefault="0093709F" w:rsidP="00085C3A">
      <w:pPr>
        <w:pBdr>
          <w:top w:val="nil"/>
          <w:left w:val="nil"/>
          <w:bottom w:val="nil"/>
          <w:right w:val="nil"/>
          <w:between w:val="nil"/>
        </w:pBdr>
        <w:spacing w:line="300" w:lineRule="atLeast"/>
        <w:ind w:leftChars="0" w:left="0" w:firstLineChars="0" w:firstLine="0"/>
        <w:jc w:val="both"/>
        <w:rPr>
          <w:rFonts w:ascii="Arial" w:eastAsia="Arial" w:hAnsi="Arial" w:cs="Arial"/>
          <w:color w:val="000000"/>
          <w:sz w:val="20"/>
          <w:szCs w:val="20"/>
        </w:rPr>
      </w:pPr>
    </w:p>
    <w:p w14:paraId="738E310C" w14:textId="77777777" w:rsidR="003D4BD1" w:rsidRPr="00E57228" w:rsidRDefault="003D4BD1" w:rsidP="00E57228">
      <w:pPr>
        <w:pBdr>
          <w:top w:val="nil"/>
          <w:left w:val="nil"/>
          <w:bottom w:val="nil"/>
          <w:right w:val="nil"/>
          <w:between w:val="nil"/>
        </w:pBdr>
        <w:spacing w:line="300" w:lineRule="atLeast"/>
        <w:ind w:left="0" w:hanging="2"/>
        <w:jc w:val="both"/>
        <w:rPr>
          <w:rFonts w:ascii="Arial" w:eastAsia="Arial" w:hAnsi="Arial" w:cs="Arial"/>
          <w:color w:val="000000"/>
          <w:sz w:val="20"/>
          <w:szCs w:val="20"/>
        </w:rPr>
      </w:pPr>
    </w:p>
    <w:p w14:paraId="3B460965" w14:textId="52A9DA08" w:rsidR="003D4BD1" w:rsidRPr="00085C3A" w:rsidRDefault="00085C3A" w:rsidP="00085C3A">
      <w:pPr>
        <w:shd w:val="clear" w:color="auto" w:fill="FFFFFF"/>
        <w:overflowPunct w:val="0"/>
        <w:autoSpaceDE w:val="0"/>
        <w:autoSpaceDN w:val="0"/>
        <w:adjustRightInd w:val="0"/>
        <w:spacing w:line="300" w:lineRule="atLeast"/>
        <w:ind w:left="0" w:hanging="2"/>
        <w:jc w:val="both"/>
        <w:textAlignment w:val="baseline"/>
        <w:rPr>
          <w:rFonts w:ascii="Calibri" w:eastAsia="Aptos" w:hAnsi="Calibri" w:cs="Arial"/>
          <w:color w:val="0F0F0F"/>
          <w:kern w:val="2"/>
          <w:sz w:val="22"/>
          <w:szCs w:val="22"/>
          <w:lang w:eastAsia="en-US"/>
        </w:rPr>
      </w:pPr>
      <w:r w:rsidRPr="00085C3A">
        <w:rPr>
          <w:rFonts w:ascii="Calibri" w:eastAsia="Aptos" w:hAnsi="Calibri" w:cs="Arial"/>
          <w:color w:val="0F0F0F"/>
          <w:kern w:val="2"/>
          <w:sz w:val="22"/>
          <w:szCs w:val="22"/>
          <w:lang w:eastAsia="en-US"/>
        </w:rPr>
        <w:t>IVA</w:t>
      </w:r>
    </w:p>
    <w:p w14:paraId="66C1502E" w14:textId="787E43D6" w:rsidR="002804BA" w:rsidRPr="00085C3A" w:rsidRDefault="002804BA" w:rsidP="00335D43">
      <w:pPr>
        <w:pBdr>
          <w:top w:val="nil"/>
          <w:left w:val="nil"/>
          <w:bottom w:val="nil"/>
          <w:right w:val="nil"/>
          <w:between w:val="nil"/>
        </w:pBdr>
        <w:tabs>
          <w:tab w:val="left" w:pos="2160"/>
          <w:tab w:val="left" w:pos="3168"/>
          <w:tab w:val="left" w:pos="4838"/>
        </w:tabs>
        <w:spacing w:line="300" w:lineRule="atLeast"/>
        <w:ind w:leftChars="0" w:left="2" w:hanging="2"/>
        <w:jc w:val="both"/>
        <w:rPr>
          <w:rFonts w:ascii="Arial" w:eastAsia="Arial" w:hAnsi="Arial" w:cs="Arial"/>
          <w:b/>
          <w:bCs/>
          <w:color w:val="000000"/>
          <w:sz w:val="20"/>
          <w:szCs w:val="20"/>
        </w:rPr>
      </w:pPr>
      <w:r w:rsidRPr="00A840FF">
        <w:rPr>
          <w:rFonts w:ascii="Arial" w:eastAsia="Arial" w:hAnsi="Arial" w:cs="Arial"/>
          <w:b/>
          <w:bCs/>
          <w:color w:val="000000"/>
          <w:sz w:val="20"/>
          <w:szCs w:val="20"/>
        </w:rPr>
        <w:t xml:space="preserve">Nuove regole per la chiusura automatica delle </w:t>
      </w:r>
      <w:r w:rsidR="00A840FF" w:rsidRPr="00A840FF">
        <w:rPr>
          <w:rFonts w:ascii="Arial" w:eastAsia="Arial" w:hAnsi="Arial" w:cs="Arial"/>
          <w:b/>
          <w:bCs/>
          <w:color w:val="000000"/>
          <w:sz w:val="20"/>
          <w:szCs w:val="20"/>
        </w:rPr>
        <w:t>p</w:t>
      </w:r>
      <w:r w:rsidRPr="00A840FF">
        <w:rPr>
          <w:rFonts w:ascii="Arial" w:eastAsia="Arial" w:hAnsi="Arial" w:cs="Arial"/>
          <w:b/>
          <w:bCs/>
          <w:color w:val="000000"/>
          <w:sz w:val="20"/>
          <w:szCs w:val="20"/>
        </w:rPr>
        <w:t>artite IVA inattive</w:t>
      </w:r>
    </w:p>
    <w:p w14:paraId="0E98BCBE" w14:textId="1546BA94" w:rsidR="00A840FF" w:rsidRPr="00A840FF" w:rsidRDefault="00335D43" w:rsidP="00A840FF">
      <w:pPr>
        <w:pBdr>
          <w:top w:val="nil"/>
          <w:left w:val="nil"/>
          <w:bottom w:val="nil"/>
          <w:right w:val="nil"/>
          <w:between w:val="nil"/>
        </w:pBdr>
        <w:tabs>
          <w:tab w:val="left" w:pos="2160"/>
          <w:tab w:val="left" w:pos="3168"/>
          <w:tab w:val="left" w:pos="4838"/>
        </w:tabs>
        <w:spacing w:line="300" w:lineRule="atLeast"/>
        <w:ind w:leftChars="0" w:left="2" w:hanging="2"/>
        <w:jc w:val="both"/>
        <w:rPr>
          <w:rFonts w:ascii="Arial" w:eastAsia="Arial" w:hAnsi="Arial" w:cs="Arial"/>
          <w:i/>
          <w:iCs/>
          <w:color w:val="000000"/>
          <w:sz w:val="20"/>
          <w:szCs w:val="20"/>
        </w:rPr>
      </w:pPr>
      <w:r w:rsidRPr="00A840FF">
        <w:rPr>
          <w:rFonts w:ascii="Arial" w:eastAsia="Arial" w:hAnsi="Arial" w:cs="Arial"/>
          <w:i/>
          <w:iCs/>
          <w:color w:val="000000"/>
          <w:sz w:val="20"/>
          <w:szCs w:val="20"/>
        </w:rPr>
        <w:t xml:space="preserve">Agenzia delle Entrate, Provvedimento 12 ottobre 2026, n. </w:t>
      </w:r>
      <w:r w:rsidR="00A840FF" w:rsidRPr="00A840FF">
        <w:rPr>
          <w:rFonts w:ascii="Arial" w:eastAsia="Arial" w:hAnsi="Arial" w:cs="Arial"/>
          <w:i/>
          <w:iCs/>
          <w:color w:val="000000"/>
          <w:sz w:val="20"/>
          <w:szCs w:val="20"/>
        </w:rPr>
        <w:t>277710</w:t>
      </w:r>
    </w:p>
    <w:p w14:paraId="4B8165EC" w14:textId="4B055ECD" w:rsidR="002804BA" w:rsidRPr="00085C3A" w:rsidRDefault="002804BA" w:rsidP="00335D43">
      <w:pPr>
        <w:pBdr>
          <w:top w:val="nil"/>
          <w:left w:val="nil"/>
          <w:bottom w:val="nil"/>
          <w:right w:val="nil"/>
          <w:between w:val="nil"/>
        </w:pBdr>
        <w:tabs>
          <w:tab w:val="left" w:pos="2160"/>
          <w:tab w:val="left" w:pos="3168"/>
          <w:tab w:val="left" w:pos="4838"/>
        </w:tabs>
        <w:spacing w:line="300" w:lineRule="atLeast"/>
        <w:ind w:leftChars="0" w:left="2" w:hanging="2"/>
        <w:jc w:val="both"/>
        <w:rPr>
          <w:rFonts w:ascii="Arial" w:eastAsia="Arial" w:hAnsi="Arial" w:cs="Arial"/>
          <w:color w:val="000000"/>
          <w:sz w:val="20"/>
          <w:szCs w:val="20"/>
        </w:rPr>
      </w:pPr>
      <w:r w:rsidRPr="00085C3A">
        <w:rPr>
          <w:rFonts w:ascii="Arial" w:eastAsia="Arial" w:hAnsi="Arial" w:cs="Arial"/>
          <w:color w:val="000000"/>
          <w:sz w:val="20"/>
          <w:szCs w:val="20"/>
        </w:rPr>
        <w:t xml:space="preserve">L’Agenzia delle Entrate, con provvedimento del 12 ottobre 2026, ha aggiornato e integrato la disciplina per la cessazione d’ufficio delle partite IVA inattive da almeno tre annualità (art. 35, comma 15-quinquies, </w:t>
      </w:r>
      <w:r w:rsidR="00A840FF">
        <w:rPr>
          <w:rFonts w:ascii="Arial" w:eastAsia="Arial" w:hAnsi="Arial" w:cs="Arial"/>
          <w:color w:val="000000"/>
          <w:sz w:val="20"/>
          <w:szCs w:val="20"/>
        </w:rPr>
        <w:t>D</w:t>
      </w:r>
      <w:r w:rsidRPr="00085C3A">
        <w:rPr>
          <w:rFonts w:ascii="Arial" w:eastAsia="Arial" w:hAnsi="Arial" w:cs="Arial"/>
          <w:color w:val="000000"/>
          <w:sz w:val="20"/>
          <w:szCs w:val="20"/>
        </w:rPr>
        <w:t>.</w:t>
      </w:r>
      <w:r w:rsidR="00A840FF">
        <w:rPr>
          <w:rFonts w:ascii="Arial" w:eastAsia="Arial" w:hAnsi="Arial" w:cs="Arial"/>
          <w:color w:val="000000"/>
          <w:sz w:val="20"/>
          <w:szCs w:val="20"/>
        </w:rPr>
        <w:t>P</w:t>
      </w:r>
      <w:r w:rsidRPr="00085C3A">
        <w:rPr>
          <w:rFonts w:ascii="Arial" w:eastAsia="Arial" w:hAnsi="Arial" w:cs="Arial"/>
          <w:color w:val="000000"/>
          <w:sz w:val="20"/>
          <w:szCs w:val="20"/>
        </w:rPr>
        <w:t>.</w:t>
      </w:r>
      <w:r w:rsidR="00A840FF">
        <w:rPr>
          <w:rFonts w:ascii="Arial" w:eastAsia="Arial" w:hAnsi="Arial" w:cs="Arial"/>
          <w:color w:val="000000"/>
          <w:sz w:val="20"/>
          <w:szCs w:val="20"/>
        </w:rPr>
        <w:t>R</w:t>
      </w:r>
      <w:r w:rsidRPr="00085C3A">
        <w:rPr>
          <w:rFonts w:ascii="Arial" w:eastAsia="Arial" w:hAnsi="Arial" w:cs="Arial"/>
          <w:color w:val="000000"/>
          <w:sz w:val="20"/>
          <w:szCs w:val="20"/>
        </w:rPr>
        <w:t xml:space="preserve">. </w:t>
      </w:r>
      <w:r w:rsidR="00A840FF">
        <w:rPr>
          <w:rFonts w:ascii="Arial" w:eastAsia="Arial" w:hAnsi="Arial" w:cs="Arial"/>
          <w:color w:val="000000"/>
          <w:sz w:val="20"/>
          <w:szCs w:val="20"/>
        </w:rPr>
        <w:t xml:space="preserve">n. </w:t>
      </w:r>
      <w:r w:rsidRPr="00085C3A">
        <w:rPr>
          <w:rFonts w:ascii="Arial" w:eastAsia="Arial" w:hAnsi="Arial" w:cs="Arial"/>
          <w:color w:val="000000"/>
          <w:sz w:val="20"/>
          <w:szCs w:val="20"/>
        </w:rPr>
        <w:t>633/1972), definendo criteri puntuali di rilevamento, iter di notifica e modalità di contraddittorio.</w:t>
      </w:r>
    </w:p>
    <w:p w14:paraId="3E2FDEFC" w14:textId="77777777" w:rsidR="002804BA" w:rsidRPr="00085C3A" w:rsidRDefault="002804BA" w:rsidP="00335D43">
      <w:pPr>
        <w:pBdr>
          <w:top w:val="nil"/>
          <w:left w:val="nil"/>
          <w:bottom w:val="nil"/>
          <w:right w:val="nil"/>
          <w:between w:val="nil"/>
        </w:pBdr>
        <w:tabs>
          <w:tab w:val="left" w:pos="2160"/>
          <w:tab w:val="left" w:pos="3168"/>
          <w:tab w:val="left" w:pos="4838"/>
        </w:tabs>
        <w:spacing w:line="300" w:lineRule="atLeast"/>
        <w:ind w:leftChars="0" w:left="2" w:hanging="2"/>
        <w:jc w:val="both"/>
        <w:rPr>
          <w:rFonts w:ascii="Arial" w:eastAsia="Arial" w:hAnsi="Arial" w:cs="Arial"/>
          <w:color w:val="000000"/>
          <w:sz w:val="20"/>
          <w:szCs w:val="20"/>
        </w:rPr>
      </w:pPr>
      <w:r w:rsidRPr="00085C3A">
        <w:rPr>
          <w:rFonts w:ascii="Arial" w:eastAsia="Arial" w:hAnsi="Arial" w:cs="Arial"/>
          <w:color w:val="000000"/>
          <w:sz w:val="20"/>
          <w:szCs w:val="20"/>
        </w:rPr>
        <w:t>La selezione delle posizioni inattive avviene tramite controlli centralizzati e automatizzati incrociando i dati dell'Anagrafe Tributaria, con specifico riferimento a fatture elettroniche, corrispettivi telematici e versamenti da riscossione spontanea relativi al triennio precedente. Per i soggetti diversi dalle persone fisiche, la cessazione della partita IVA comporta anche la contestuale estinzione del codice fiscale.</w:t>
      </w:r>
    </w:p>
    <w:p w14:paraId="4D8A31A1" w14:textId="720D3D08" w:rsidR="002804BA" w:rsidRPr="00085C3A" w:rsidRDefault="002804BA" w:rsidP="00335D43">
      <w:pPr>
        <w:pBdr>
          <w:top w:val="nil"/>
          <w:left w:val="nil"/>
          <w:bottom w:val="nil"/>
          <w:right w:val="nil"/>
          <w:between w:val="nil"/>
        </w:pBdr>
        <w:tabs>
          <w:tab w:val="left" w:pos="2160"/>
          <w:tab w:val="left" w:pos="3168"/>
          <w:tab w:val="left" w:pos="4838"/>
        </w:tabs>
        <w:spacing w:line="300" w:lineRule="atLeast"/>
        <w:ind w:leftChars="0" w:left="2" w:hanging="2"/>
        <w:jc w:val="both"/>
        <w:rPr>
          <w:rFonts w:ascii="Arial" w:eastAsia="Arial" w:hAnsi="Arial" w:cs="Arial"/>
          <w:color w:val="000000"/>
          <w:sz w:val="20"/>
          <w:szCs w:val="20"/>
        </w:rPr>
      </w:pPr>
      <w:r w:rsidRPr="00A840FF">
        <w:rPr>
          <w:rFonts w:ascii="Arial" w:eastAsia="Arial" w:hAnsi="Arial" w:cs="Arial"/>
          <w:color w:val="000000"/>
          <w:sz w:val="20"/>
          <w:szCs w:val="20"/>
        </w:rPr>
        <w:t xml:space="preserve">Il </w:t>
      </w:r>
      <w:r w:rsidRPr="00085C3A">
        <w:rPr>
          <w:rFonts w:ascii="Arial" w:eastAsia="Arial" w:hAnsi="Arial" w:cs="Arial"/>
          <w:b/>
          <w:bCs/>
          <w:color w:val="000000"/>
          <w:sz w:val="20"/>
          <w:szCs w:val="20"/>
        </w:rPr>
        <w:t>provvedimento</w:t>
      </w:r>
      <w:r w:rsidRPr="00A840FF">
        <w:rPr>
          <w:rFonts w:ascii="Arial" w:eastAsia="Arial" w:hAnsi="Arial" w:cs="Arial"/>
          <w:color w:val="000000"/>
          <w:sz w:val="20"/>
          <w:szCs w:val="20"/>
        </w:rPr>
        <w:t xml:space="preserve"> viene </w:t>
      </w:r>
      <w:r w:rsidRPr="00085C3A">
        <w:rPr>
          <w:rFonts w:ascii="Arial" w:eastAsia="Arial" w:hAnsi="Arial" w:cs="Arial"/>
          <w:b/>
          <w:bCs/>
          <w:color w:val="000000"/>
          <w:sz w:val="20"/>
          <w:szCs w:val="20"/>
        </w:rPr>
        <w:t>trasmesso prioritariamente al domicilio digitale del contribuente</w:t>
      </w:r>
      <w:r w:rsidR="00A840FF">
        <w:rPr>
          <w:rFonts w:ascii="Arial" w:eastAsia="Arial" w:hAnsi="Arial" w:cs="Arial"/>
          <w:color w:val="000000"/>
          <w:sz w:val="20"/>
          <w:szCs w:val="20"/>
        </w:rPr>
        <w:t xml:space="preserve"> </w:t>
      </w:r>
      <w:r w:rsidRPr="00085C3A">
        <w:rPr>
          <w:rFonts w:ascii="Arial" w:eastAsia="Arial" w:hAnsi="Arial" w:cs="Arial"/>
          <w:color w:val="000000"/>
          <w:sz w:val="20"/>
          <w:szCs w:val="20"/>
        </w:rPr>
        <w:t>o, in sua assenza, tramite raccomandata A/R. Il documento viene inoltre caricato nella sezione “L’Agenzia scrive” del cassetto fiscale, con contestuale avviso nell’area riservata e notifica sull’app IO per i destinatari persone fisiche.</w:t>
      </w:r>
    </w:p>
    <w:p w14:paraId="499EBD49" w14:textId="0260FC85" w:rsidR="002804BA" w:rsidRPr="00085C3A" w:rsidRDefault="002804BA" w:rsidP="00335D43">
      <w:pPr>
        <w:pBdr>
          <w:top w:val="nil"/>
          <w:left w:val="nil"/>
          <w:bottom w:val="nil"/>
          <w:right w:val="nil"/>
          <w:between w:val="nil"/>
        </w:pBdr>
        <w:tabs>
          <w:tab w:val="left" w:pos="2160"/>
          <w:tab w:val="left" w:pos="3168"/>
          <w:tab w:val="left" w:pos="4838"/>
        </w:tabs>
        <w:spacing w:line="300" w:lineRule="atLeast"/>
        <w:ind w:leftChars="0" w:left="2" w:hanging="2"/>
        <w:jc w:val="both"/>
        <w:rPr>
          <w:rFonts w:ascii="Arial" w:eastAsia="Arial" w:hAnsi="Arial" w:cs="Arial"/>
          <w:color w:val="000000"/>
          <w:sz w:val="20"/>
          <w:szCs w:val="20"/>
        </w:rPr>
      </w:pPr>
      <w:r w:rsidRPr="00085C3A">
        <w:rPr>
          <w:rFonts w:ascii="Arial" w:eastAsia="Arial" w:hAnsi="Arial" w:cs="Arial"/>
          <w:color w:val="000000"/>
          <w:sz w:val="20"/>
          <w:szCs w:val="20"/>
        </w:rPr>
        <w:t>La chiusura d'ufficio acquisisce efficacia dal</w:t>
      </w:r>
      <w:r w:rsidR="00A840FF">
        <w:rPr>
          <w:rFonts w:ascii="Arial" w:eastAsia="Arial" w:hAnsi="Arial" w:cs="Arial"/>
          <w:color w:val="000000"/>
          <w:sz w:val="20"/>
          <w:szCs w:val="20"/>
        </w:rPr>
        <w:t xml:space="preserve"> </w:t>
      </w:r>
      <w:r w:rsidRPr="00085C3A">
        <w:rPr>
          <w:rFonts w:ascii="Arial" w:eastAsia="Arial" w:hAnsi="Arial" w:cs="Arial"/>
          <w:b/>
          <w:bCs/>
          <w:color w:val="000000"/>
          <w:sz w:val="20"/>
          <w:szCs w:val="20"/>
        </w:rPr>
        <w:t>sessantesimo giorno successivo alla ricezione della comunicazione</w:t>
      </w:r>
      <w:r w:rsidR="00A840FF">
        <w:rPr>
          <w:rFonts w:ascii="Arial" w:eastAsia="Arial" w:hAnsi="Arial" w:cs="Arial"/>
          <w:color w:val="000000"/>
          <w:sz w:val="20"/>
          <w:szCs w:val="20"/>
        </w:rPr>
        <w:t xml:space="preserve"> </w:t>
      </w:r>
      <w:r w:rsidRPr="00085C3A">
        <w:rPr>
          <w:rFonts w:ascii="Arial" w:eastAsia="Arial" w:hAnsi="Arial" w:cs="Arial"/>
          <w:color w:val="000000"/>
          <w:sz w:val="20"/>
          <w:szCs w:val="20"/>
        </w:rPr>
        <w:t>(o dalla data di messa a disposizione nell'area riservata in caso di mancato recapito).</w:t>
      </w:r>
    </w:p>
    <w:p w14:paraId="69D08484" w14:textId="77777777" w:rsidR="002804BA" w:rsidRPr="00085C3A" w:rsidRDefault="002804BA" w:rsidP="00335D43">
      <w:pPr>
        <w:pBdr>
          <w:top w:val="nil"/>
          <w:left w:val="nil"/>
          <w:bottom w:val="nil"/>
          <w:right w:val="nil"/>
          <w:between w:val="nil"/>
        </w:pBdr>
        <w:tabs>
          <w:tab w:val="left" w:pos="2160"/>
          <w:tab w:val="left" w:pos="3168"/>
          <w:tab w:val="left" w:pos="4838"/>
        </w:tabs>
        <w:spacing w:line="300" w:lineRule="atLeast"/>
        <w:ind w:leftChars="0" w:left="2" w:hanging="2"/>
        <w:jc w:val="both"/>
        <w:rPr>
          <w:rFonts w:ascii="Arial" w:eastAsia="Arial" w:hAnsi="Arial" w:cs="Arial"/>
          <w:color w:val="000000"/>
          <w:sz w:val="20"/>
          <w:szCs w:val="20"/>
        </w:rPr>
      </w:pPr>
      <w:r w:rsidRPr="00085C3A">
        <w:rPr>
          <w:rFonts w:ascii="Arial" w:eastAsia="Arial" w:hAnsi="Arial" w:cs="Arial"/>
          <w:color w:val="000000"/>
          <w:sz w:val="20"/>
          <w:szCs w:val="20"/>
        </w:rPr>
        <w:t>Entro i 60 giorni l'interessato può rivolgersi a qualsiasi ufficio territoriale dell'Agenzia per presentare chiarimenti e opporsi alla chiusura o all'estinzione del codice fiscale. Oltre i 60 giorni resterà facoltà del contribuente presentare un'istanza motivata per richiedere la riattivazione; previa verifica documentale, la posizione viene ripristinata con efficacia retroattiva alla data originaria di apertura.</w:t>
      </w:r>
    </w:p>
    <w:p w14:paraId="34DDD3D0" w14:textId="77777777" w:rsidR="0093709F" w:rsidRPr="00085C3A" w:rsidRDefault="0093709F" w:rsidP="00335D43">
      <w:pPr>
        <w:pBdr>
          <w:top w:val="nil"/>
          <w:left w:val="nil"/>
          <w:bottom w:val="nil"/>
          <w:right w:val="nil"/>
          <w:between w:val="nil"/>
        </w:pBdr>
        <w:tabs>
          <w:tab w:val="left" w:pos="2160"/>
          <w:tab w:val="left" w:pos="3168"/>
          <w:tab w:val="left" w:pos="4838"/>
        </w:tabs>
        <w:spacing w:line="300" w:lineRule="atLeast"/>
        <w:ind w:leftChars="0" w:left="2" w:hanging="2"/>
        <w:jc w:val="both"/>
        <w:rPr>
          <w:rFonts w:ascii="Arial" w:eastAsia="Arial" w:hAnsi="Arial" w:cs="Arial"/>
          <w:color w:val="000000"/>
          <w:sz w:val="20"/>
          <w:szCs w:val="20"/>
        </w:rPr>
      </w:pPr>
    </w:p>
    <w:p w14:paraId="3D13AF79" w14:textId="77777777" w:rsidR="0093709F" w:rsidRPr="00085C3A" w:rsidRDefault="0093709F" w:rsidP="00335D43">
      <w:pPr>
        <w:pBdr>
          <w:top w:val="nil"/>
          <w:left w:val="nil"/>
          <w:bottom w:val="nil"/>
          <w:right w:val="nil"/>
          <w:between w:val="nil"/>
        </w:pBdr>
        <w:tabs>
          <w:tab w:val="left" w:pos="2160"/>
          <w:tab w:val="left" w:pos="3168"/>
          <w:tab w:val="left" w:pos="4838"/>
        </w:tabs>
        <w:spacing w:line="300" w:lineRule="atLeast"/>
        <w:ind w:leftChars="0" w:left="2" w:hanging="2"/>
        <w:jc w:val="both"/>
        <w:rPr>
          <w:rFonts w:ascii="Arial" w:eastAsia="Arial" w:hAnsi="Arial" w:cs="Arial"/>
          <w:color w:val="000000"/>
          <w:sz w:val="20"/>
          <w:szCs w:val="20"/>
        </w:rPr>
      </w:pPr>
    </w:p>
    <w:p w14:paraId="2F8AF92D" w14:textId="0864A0D9" w:rsidR="00A840FF" w:rsidRPr="00A840FF" w:rsidRDefault="00A840FF" w:rsidP="00A840FF">
      <w:pPr>
        <w:shd w:val="clear" w:color="auto" w:fill="FFFFFF"/>
        <w:overflowPunct w:val="0"/>
        <w:autoSpaceDE w:val="0"/>
        <w:autoSpaceDN w:val="0"/>
        <w:adjustRightInd w:val="0"/>
        <w:spacing w:line="300" w:lineRule="atLeast"/>
        <w:ind w:left="0" w:hanging="2"/>
        <w:jc w:val="both"/>
        <w:textAlignment w:val="baseline"/>
        <w:rPr>
          <w:rFonts w:ascii="Calibri" w:eastAsia="Aptos" w:hAnsi="Calibri" w:cs="Arial"/>
          <w:color w:val="0F0F0F"/>
          <w:kern w:val="2"/>
          <w:sz w:val="22"/>
          <w:szCs w:val="22"/>
          <w:lang w:eastAsia="en-US"/>
        </w:rPr>
      </w:pPr>
      <w:r w:rsidRPr="00A840FF">
        <w:rPr>
          <w:rFonts w:ascii="Calibri" w:eastAsia="Aptos" w:hAnsi="Calibri" w:cs="Arial"/>
          <w:color w:val="0F0F0F"/>
          <w:kern w:val="2"/>
          <w:sz w:val="22"/>
          <w:szCs w:val="22"/>
          <w:lang w:eastAsia="en-US"/>
        </w:rPr>
        <w:t>AGEVOLAZIONI</w:t>
      </w:r>
    </w:p>
    <w:p w14:paraId="70A1248E" w14:textId="53B9880E" w:rsidR="00E02368" w:rsidRPr="00A840FF" w:rsidRDefault="00E02368" w:rsidP="00A840FF">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b/>
          <w:bCs/>
          <w:color w:val="000000"/>
          <w:sz w:val="20"/>
          <w:szCs w:val="20"/>
        </w:rPr>
      </w:pPr>
      <w:r w:rsidRPr="00A840FF">
        <w:rPr>
          <w:rFonts w:ascii="Arial" w:eastAsia="Arial" w:hAnsi="Arial" w:cs="Arial"/>
          <w:b/>
          <w:bCs/>
          <w:color w:val="000000"/>
          <w:sz w:val="20"/>
          <w:szCs w:val="20"/>
        </w:rPr>
        <w:t>ENEA aggiorna i suoi vedemecum dedicati all’</w:t>
      </w:r>
      <w:r w:rsidR="00A840FF" w:rsidRPr="00A840FF">
        <w:rPr>
          <w:rFonts w:ascii="Arial" w:eastAsia="Arial" w:hAnsi="Arial" w:cs="Arial"/>
          <w:b/>
          <w:bCs/>
          <w:color w:val="000000"/>
          <w:sz w:val="20"/>
          <w:szCs w:val="20"/>
        </w:rPr>
        <w:t>e</w:t>
      </w:r>
      <w:r w:rsidRPr="00A840FF">
        <w:rPr>
          <w:rFonts w:ascii="Arial" w:eastAsia="Arial" w:hAnsi="Arial" w:cs="Arial"/>
          <w:b/>
          <w:bCs/>
          <w:color w:val="000000"/>
          <w:sz w:val="20"/>
          <w:szCs w:val="20"/>
        </w:rPr>
        <w:t>cobonus</w:t>
      </w:r>
    </w:p>
    <w:p w14:paraId="219FF7FC" w14:textId="52ACF86D" w:rsidR="00E02368" w:rsidRPr="00A840FF" w:rsidRDefault="00E02368" w:rsidP="00A840FF">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A840FF">
        <w:rPr>
          <w:rFonts w:ascii="Arial" w:eastAsia="Arial" w:hAnsi="Arial" w:cs="Arial"/>
          <w:color w:val="000000"/>
          <w:sz w:val="20"/>
          <w:szCs w:val="20"/>
        </w:rPr>
        <w:t>ENEA ha aggiornato i suoi</w:t>
      </w:r>
      <w:r w:rsidR="00A840FF">
        <w:rPr>
          <w:rFonts w:ascii="Arial" w:eastAsia="Arial" w:hAnsi="Arial" w:cs="Arial"/>
          <w:color w:val="000000"/>
          <w:sz w:val="20"/>
          <w:szCs w:val="20"/>
        </w:rPr>
        <w:t xml:space="preserve"> </w:t>
      </w:r>
      <w:r w:rsidRPr="00A840FF">
        <w:rPr>
          <w:rFonts w:ascii="Arial" w:eastAsia="Arial" w:hAnsi="Arial" w:cs="Arial"/>
          <w:sz w:val="20"/>
          <w:szCs w:val="20"/>
        </w:rPr>
        <w:t>vademecum</w:t>
      </w:r>
      <w:r w:rsidR="00A840FF">
        <w:rPr>
          <w:rFonts w:ascii="Arial" w:eastAsia="Arial" w:hAnsi="Arial" w:cs="Arial"/>
          <w:color w:val="000000"/>
          <w:sz w:val="20"/>
          <w:szCs w:val="20"/>
        </w:rPr>
        <w:t xml:space="preserve"> </w:t>
      </w:r>
      <w:r w:rsidRPr="00A840FF">
        <w:rPr>
          <w:rFonts w:ascii="Arial" w:eastAsia="Arial" w:hAnsi="Arial" w:cs="Arial"/>
          <w:color w:val="000000"/>
          <w:sz w:val="20"/>
          <w:szCs w:val="20"/>
        </w:rPr>
        <w:t>dedicati all’</w:t>
      </w:r>
      <w:r w:rsidR="00A840FF">
        <w:rPr>
          <w:rFonts w:ascii="Arial" w:eastAsia="Arial" w:hAnsi="Arial" w:cs="Arial"/>
          <w:color w:val="000000"/>
          <w:sz w:val="20"/>
          <w:szCs w:val="20"/>
        </w:rPr>
        <w:t>e</w:t>
      </w:r>
      <w:r w:rsidRPr="00A840FF">
        <w:rPr>
          <w:rFonts w:ascii="Arial" w:eastAsia="Arial" w:hAnsi="Arial" w:cs="Arial"/>
          <w:color w:val="000000"/>
          <w:sz w:val="20"/>
          <w:szCs w:val="20"/>
        </w:rPr>
        <w:t xml:space="preserve">cobonus, mettendo a disposizione una </w:t>
      </w:r>
      <w:r w:rsidRPr="00A840FF">
        <w:rPr>
          <w:rFonts w:ascii="Arial" w:eastAsia="Arial" w:hAnsi="Arial" w:cs="Arial"/>
          <w:b/>
          <w:bCs/>
          <w:color w:val="000000"/>
          <w:sz w:val="20"/>
          <w:szCs w:val="20"/>
        </w:rPr>
        <w:t>raccolta aggiornata di schede operative</w:t>
      </w:r>
      <w:r w:rsidRPr="00A840FF">
        <w:rPr>
          <w:rFonts w:ascii="Arial" w:eastAsia="Arial" w:hAnsi="Arial" w:cs="Arial"/>
          <w:color w:val="000000"/>
          <w:sz w:val="20"/>
          <w:szCs w:val="20"/>
        </w:rPr>
        <w:t xml:space="preserve"> per gli interventi di efficientamento energetico degli edifici.</w:t>
      </w:r>
    </w:p>
    <w:p w14:paraId="10F95491" w14:textId="50C3591E" w:rsidR="00E02368" w:rsidRPr="00A840FF" w:rsidRDefault="00E02368" w:rsidP="00A840FF">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A840FF">
        <w:rPr>
          <w:rFonts w:ascii="Arial" w:eastAsia="Arial" w:hAnsi="Arial" w:cs="Arial"/>
          <w:color w:val="000000"/>
          <w:sz w:val="20"/>
          <w:szCs w:val="20"/>
        </w:rPr>
        <w:lastRenderedPageBreak/>
        <w:t>L’aggiornamento è on line dal 23 settembre 2026; non riguarda nuove agevolazioni, ma fornisce indicazioni tecniche e procedurali utili per orientarsi tra lavori ammessi, requisiti richiesti, documentazione da conservare e modalità di accesso alle detrazioni.</w:t>
      </w:r>
    </w:p>
    <w:p w14:paraId="482E063B" w14:textId="77777777" w:rsidR="00E02368" w:rsidRPr="00A840FF" w:rsidRDefault="00E02368" w:rsidP="00A840FF">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A840FF">
        <w:rPr>
          <w:rFonts w:ascii="Arial" w:eastAsia="Arial" w:hAnsi="Arial" w:cs="Arial"/>
          <w:color w:val="000000"/>
          <w:sz w:val="20"/>
          <w:szCs w:val="20"/>
        </w:rPr>
        <w:t>Elenco dei Vademecum aggiornati a settembre 2026:</w:t>
      </w:r>
    </w:p>
    <w:p w14:paraId="28B1F12F" w14:textId="4EDDCD85" w:rsidR="00E02368" w:rsidRPr="00A840FF" w:rsidRDefault="00E02368" w:rsidP="00465C43">
      <w:pPr>
        <w:pStyle w:val="Paragrafoelenco"/>
        <w:numPr>
          <w:ilvl w:val="0"/>
          <w:numId w:val="7"/>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A840FF">
        <w:rPr>
          <w:rFonts w:ascii="Arial" w:eastAsia="Arial" w:hAnsi="Arial" w:cs="Arial"/>
          <w:sz w:val="20"/>
          <w:szCs w:val="20"/>
        </w:rPr>
        <w:t>Riqualificazione globale</w:t>
      </w:r>
    </w:p>
    <w:p w14:paraId="4D7E5331" w14:textId="73586B22" w:rsidR="00E02368" w:rsidRPr="00A840FF" w:rsidRDefault="00E02368" w:rsidP="00465C43">
      <w:pPr>
        <w:pStyle w:val="Paragrafoelenco"/>
        <w:numPr>
          <w:ilvl w:val="0"/>
          <w:numId w:val="7"/>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A840FF">
        <w:rPr>
          <w:rFonts w:ascii="Arial" w:eastAsia="Arial" w:hAnsi="Arial" w:cs="Arial"/>
          <w:sz w:val="20"/>
          <w:szCs w:val="20"/>
        </w:rPr>
        <w:t>Bonus Facciate</w:t>
      </w:r>
    </w:p>
    <w:p w14:paraId="024A64B5" w14:textId="487CC4B3" w:rsidR="00E02368" w:rsidRPr="00A840FF" w:rsidRDefault="00E02368" w:rsidP="00465C43">
      <w:pPr>
        <w:pStyle w:val="Paragrafoelenco"/>
        <w:numPr>
          <w:ilvl w:val="0"/>
          <w:numId w:val="7"/>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A840FF">
        <w:rPr>
          <w:rFonts w:ascii="Arial" w:eastAsia="Arial" w:hAnsi="Arial" w:cs="Arial"/>
          <w:sz w:val="20"/>
          <w:szCs w:val="20"/>
        </w:rPr>
        <w:t>Parti comuni condominiali</w:t>
      </w:r>
    </w:p>
    <w:p w14:paraId="7B06286D" w14:textId="20C63F6F" w:rsidR="00E02368" w:rsidRPr="00A840FF" w:rsidRDefault="00E02368" w:rsidP="00465C43">
      <w:pPr>
        <w:pStyle w:val="Paragrafoelenco"/>
        <w:numPr>
          <w:ilvl w:val="0"/>
          <w:numId w:val="7"/>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A840FF">
        <w:rPr>
          <w:rFonts w:ascii="Arial" w:eastAsia="Arial" w:hAnsi="Arial" w:cs="Arial"/>
          <w:sz w:val="20"/>
          <w:szCs w:val="20"/>
        </w:rPr>
        <w:t>Coibentazione strutture</w:t>
      </w:r>
    </w:p>
    <w:p w14:paraId="3649D20A" w14:textId="687963B2" w:rsidR="00E02368" w:rsidRPr="00A840FF" w:rsidRDefault="00E02368" w:rsidP="00465C43">
      <w:pPr>
        <w:pStyle w:val="Paragrafoelenco"/>
        <w:numPr>
          <w:ilvl w:val="0"/>
          <w:numId w:val="7"/>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A840FF">
        <w:rPr>
          <w:rFonts w:ascii="Arial" w:eastAsia="Arial" w:hAnsi="Arial" w:cs="Arial"/>
          <w:sz w:val="20"/>
          <w:szCs w:val="20"/>
        </w:rPr>
        <w:t>Serramenti e infissi</w:t>
      </w:r>
    </w:p>
    <w:p w14:paraId="490B9E60" w14:textId="5A637CE9" w:rsidR="00E02368" w:rsidRPr="00A840FF" w:rsidRDefault="00E02368" w:rsidP="00465C43">
      <w:pPr>
        <w:pStyle w:val="Paragrafoelenco"/>
        <w:numPr>
          <w:ilvl w:val="0"/>
          <w:numId w:val="7"/>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A840FF">
        <w:rPr>
          <w:rFonts w:ascii="Arial" w:eastAsia="Arial" w:hAnsi="Arial" w:cs="Arial"/>
          <w:sz w:val="20"/>
          <w:szCs w:val="20"/>
        </w:rPr>
        <w:t>Schermature solari</w:t>
      </w:r>
    </w:p>
    <w:p w14:paraId="5DC7B36C" w14:textId="04369452" w:rsidR="00E02368" w:rsidRPr="00A840FF" w:rsidRDefault="00E02368" w:rsidP="00465C43">
      <w:pPr>
        <w:pStyle w:val="Paragrafoelenco"/>
        <w:numPr>
          <w:ilvl w:val="0"/>
          <w:numId w:val="7"/>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A840FF">
        <w:rPr>
          <w:rFonts w:ascii="Arial" w:eastAsia="Arial" w:hAnsi="Arial" w:cs="Arial"/>
          <w:sz w:val="20"/>
          <w:szCs w:val="20"/>
        </w:rPr>
        <w:t>Collettori solari</w:t>
      </w:r>
    </w:p>
    <w:p w14:paraId="513B1B50" w14:textId="313883F6" w:rsidR="00E02368" w:rsidRPr="00A840FF" w:rsidRDefault="00E02368" w:rsidP="00465C43">
      <w:pPr>
        <w:pStyle w:val="Paragrafoelenco"/>
        <w:numPr>
          <w:ilvl w:val="0"/>
          <w:numId w:val="7"/>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A840FF">
        <w:rPr>
          <w:rFonts w:ascii="Arial" w:eastAsia="Arial" w:hAnsi="Arial" w:cs="Arial"/>
          <w:sz w:val="20"/>
          <w:szCs w:val="20"/>
        </w:rPr>
        <w:t>Generatori a biomassa</w:t>
      </w:r>
    </w:p>
    <w:p w14:paraId="6393A72C" w14:textId="73E08CE9" w:rsidR="00E02368" w:rsidRPr="00A840FF" w:rsidRDefault="00E02368" w:rsidP="00465C43">
      <w:pPr>
        <w:pStyle w:val="Paragrafoelenco"/>
        <w:numPr>
          <w:ilvl w:val="0"/>
          <w:numId w:val="7"/>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A840FF">
        <w:rPr>
          <w:rFonts w:ascii="Arial" w:eastAsia="Arial" w:hAnsi="Arial" w:cs="Arial"/>
          <w:sz w:val="20"/>
          <w:szCs w:val="20"/>
        </w:rPr>
        <w:t>Caldaie a condensazione - generatori ad aria a condensazione</w:t>
      </w:r>
    </w:p>
    <w:p w14:paraId="32813E64" w14:textId="4FF83933" w:rsidR="00E02368" w:rsidRPr="00A840FF" w:rsidRDefault="00E02368" w:rsidP="00465C43">
      <w:pPr>
        <w:pStyle w:val="Paragrafoelenco"/>
        <w:numPr>
          <w:ilvl w:val="0"/>
          <w:numId w:val="7"/>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A840FF">
        <w:rPr>
          <w:rFonts w:ascii="Arial" w:eastAsia="Arial" w:hAnsi="Arial" w:cs="Arial"/>
          <w:sz w:val="20"/>
          <w:szCs w:val="20"/>
        </w:rPr>
        <w:t>Pompe di calore</w:t>
      </w:r>
    </w:p>
    <w:p w14:paraId="23436263" w14:textId="0D99A193" w:rsidR="00E02368" w:rsidRPr="00A840FF" w:rsidRDefault="00E02368" w:rsidP="00465C43">
      <w:pPr>
        <w:pStyle w:val="Paragrafoelenco"/>
        <w:numPr>
          <w:ilvl w:val="0"/>
          <w:numId w:val="7"/>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A840FF">
        <w:rPr>
          <w:rFonts w:ascii="Arial" w:eastAsia="Arial" w:hAnsi="Arial" w:cs="Arial"/>
          <w:sz w:val="20"/>
          <w:szCs w:val="20"/>
        </w:rPr>
        <w:t>Sistemi ibridi</w:t>
      </w:r>
    </w:p>
    <w:p w14:paraId="6B22448E" w14:textId="5A234A89" w:rsidR="00E02368" w:rsidRPr="00A840FF" w:rsidRDefault="00E02368" w:rsidP="00465C43">
      <w:pPr>
        <w:pStyle w:val="Paragrafoelenco"/>
        <w:numPr>
          <w:ilvl w:val="0"/>
          <w:numId w:val="7"/>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A840FF">
        <w:rPr>
          <w:rFonts w:ascii="Arial" w:eastAsia="Arial" w:hAnsi="Arial" w:cs="Arial"/>
          <w:sz w:val="20"/>
          <w:szCs w:val="20"/>
        </w:rPr>
        <w:t>Microcogeneratori</w:t>
      </w:r>
    </w:p>
    <w:p w14:paraId="1CACFE90" w14:textId="75E193BE" w:rsidR="00E02368" w:rsidRPr="00A840FF" w:rsidRDefault="00E02368" w:rsidP="00465C43">
      <w:pPr>
        <w:pStyle w:val="Paragrafoelenco"/>
        <w:numPr>
          <w:ilvl w:val="0"/>
          <w:numId w:val="7"/>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sidRPr="00A840FF">
        <w:rPr>
          <w:rFonts w:ascii="Arial" w:eastAsia="Arial" w:hAnsi="Arial" w:cs="Arial"/>
          <w:sz w:val="20"/>
          <w:szCs w:val="20"/>
        </w:rPr>
        <w:t>Building automation</w:t>
      </w:r>
    </w:p>
    <w:p w14:paraId="51AB5873" w14:textId="77777777" w:rsidR="00206D4D" w:rsidRPr="00A840FF" w:rsidRDefault="00206D4D" w:rsidP="00A840FF">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227B700B" w14:textId="77777777" w:rsidR="0093709F" w:rsidRPr="00A840FF" w:rsidRDefault="0093709F" w:rsidP="00A840FF">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2398A00F" w14:textId="6E4C7A19" w:rsidR="00A840FF" w:rsidRPr="00A840FF" w:rsidRDefault="00A840FF" w:rsidP="00A840FF">
      <w:pPr>
        <w:shd w:val="clear" w:color="auto" w:fill="FFFFFF"/>
        <w:overflowPunct w:val="0"/>
        <w:autoSpaceDE w:val="0"/>
        <w:autoSpaceDN w:val="0"/>
        <w:adjustRightInd w:val="0"/>
        <w:spacing w:line="300" w:lineRule="atLeast"/>
        <w:ind w:left="0" w:hanging="2"/>
        <w:jc w:val="both"/>
        <w:textAlignment w:val="baseline"/>
        <w:rPr>
          <w:rFonts w:ascii="Calibri" w:eastAsia="Aptos" w:hAnsi="Calibri" w:cs="Arial"/>
          <w:color w:val="0F0F0F"/>
          <w:kern w:val="2"/>
          <w:sz w:val="22"/>
          <w:szCs w:val="22"/>
          <w:lang w:eastAsia="en-US"/>
        </w:rPr>
      </w:pPr>
      <w:r w:rsidRPr="00A840FF">
        <w:rPr>
          <w:rFonts w:ascii="Calibri" w:eastAsia="Aptos" w:hAnsi="Calibri" w:cs="Arial"/>
          <w:color w:val="0F0F0F"/>
          <w:kern w:val="2"/>
          <w:sz w:val="22"/>
          <w:szCs w:val="22"/>
          <w:lang w:eastAsia="en-US"/>
        </w:rPr>
        <w:t>AGEVOLAZIONI</w:t>
      </w:r>
    </w:p>
    <w:p w14:paraId="108E17EC" w14:textId="77777777" w:rsidR="00E02368" w:rsidRPr="00A840FF" w:rsidRDefault="00E02368" w:rsidP="00A840FF">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b/>
          <w:bCs/>
          <w:color w:val="000000"/>
          <w:sz w:val="20"/>
          <w:szCs w:val="20"/>
        </w:rPr>
      </w:pPr>
      <w:r w:rsidRPr="00A840FF">
        <w:rPr>
          <w:rFonts w:ascii="Arial" w:eastAsia="Arial" w:hAnsi="Arial" w:cs="Arial"/>
          <w:b/>
          <w:bCs/>
          <w:color w:val="000000"/>
          <w:sz w:val="20"/>
          <w:szCs w:val="20"/>
        </w:rPr>
        <w:t>Transizione 5.0: al via sulla piattaforma GSE le comunicazioni di completamento degli investimenti</w:t>
      </w:r>
    </w:p>
    <w:p w14:paraId="57ADBEC5" w14:textId="270631CB" w:rsidR="00E02368" w:rsidRPr="00A840FF" w:rsidRDefault="00E02368" w:rsidP="00A840FF">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A840FF">
        <w:rPr>
          <w:rFonts w:ascii="Arial" w:eastAsia="Arial" w:hAnsi="Arial" w:cs="Arial"/>
          <w:color w:val="000000"/>
          <w:sz w:val="20"/>
          <w:szCs w:val="20"/>
        </w:rPr>
        <w:t>È ufficialmente attiva la procedura telematica per la trasmissione delle</w:t>
      </w:r>
      <w:r w:rsidR="001C16EB">
        <w:rPr>
          <w:rFonts w:ascii="Arial" w:eastAsia="Arial" w:hAnsi="Arial" w:cs="Arial"/>
          <w:color w:val="000000"/>
          <w:sz w:val="20"/>
          <w:szCs w:val="20"/>
        </w:rPr>
        <w:t xml:space="preserve"> </w:t>
      </w:r>
      <w:r w:rsidRPr="00A840FF">
        <w:rPr>
          <w:rFonts w:ascii="Arial" w:eastAsia="Arial" w:hAnsi="Arial" w:cs="Arial"/>
          <w:b/>
          <w:bCs/>
          <w:color w:val="000000"/>
          <w:sz w:val="20"/>
          <w:szCs w:val="20"/>
        </w:rPr>
        <w:t>comunicazioni di completamento degli investimenti rientranti nel nuovo Piano Transizione 5.0</w:t>
      </w:r>
      <w:r w:rsidRPr="00A840FF">
        <w:rPr>
          <w:rFonts w:ascii="Arial" w:eastAsia="Arial" w:hAnsi="Arial" w:cs="Arial"/>
          <w:color w:val="000000"/>
          <w:sz w:val="20"/>
          <w:szCs w:val="20"/>
        </w:rPr>
        <w:t>. Il Ministero delle Imprese e del Made in Italy ha disposto l'apertura della specifica sezione sulla piattaforma informatica gestita dal Gestore dei Servizi Energetici, consentendo alle imprese di perfezionare l'iter di accesso alle agevolazioni fiscali.</w:t>
      </w:r>
    </w:p>
    <w:p w14:paraId="3F7C657B" w14:textId="77777777" w:rsidR="00E02368" w:rsidRPr="00A840FF" w:rsidRDefault="00E02368" w:rsidP="00A840FF">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A840FF">
        <w:rPr>
          <w:rFonts w:ascii="Arial" w:eastAsia="Arial" w:hAnsi="Arial" w:cs="Arial"/>
          <w:color w:val="000000"/>
          <w:sz w:val="20"/>
          <w:szCs w:val="20"/>
        </w:rPr>
        <w:t xml:space="preserve">La trasmissione della comunicazione è riservata ai soggetti che hanno già ottenuto un esito positivo sulla precedente comunicazione di conferma e si trovano nella condizione di aver </w:t>
      </w:r>
      <w:r w:rsidRPr="001C16EB">
        <w:rPr>
          <w:rFonts w:ascii="Arial" w:eastAsia="Arial" w:hAnsi="Arial" w:cs="Arial"/>
          <w:b/>
          <w:bCs/>
          <w:color w:val="000000"/>
          <w:sz w:val="20"/>
          <w:szCs w:val="20"/>
        </w:rPr>
        <w:t>ultimato gli investimenti agevolabili</w:t>
      </w:r>
      <w:r w:rsidRPr="00A840FF">
        <w:rPr>
          <w:rFonts w:ascii="Arial" w:eastAsia="Arial" w:hAnsi="Arial" w:cs="Arial"/>
          <w:color w:val="000000"/>
          <w:sz w:val="20"/>
          <w:szCs w:val="20"/>
        </w:rPr>
        <w:t>. Per i beni connessi al modello 4.0, il completamento richiede l'avvenuta interconnessione, operazione che deve essere perfezionata entro il termine inderogabile del 30 settembre 2028, con la chiusura definitiva della finestra di invio fissata al 15 novembre 2028.</w:t>
      </w:r>
    </w:p>
    <w:p w14:paraId="224DF853" w14:textId="77777777" w:rsidR="00E02368" w:rsidRPr="00A840FF" w:rsidRDefault="00E02368" w:rsidP="00A840FF">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A840FF">
        <w:rPr>
          <w:rFonts w:ascii="Arial" w:eastAsia="Arial" w:hAnsi="Arial" w:cs="Arial"/>
          <w:color w:val="000000"/>
          <w:sz w:val="20"/>
          <w:szCs w:val="20"/>
        </w:rPr>
        <w:t xml:space="preserve">All'interno della </w:t>
      </w:r>
      <w:r w:rsidRPr="001C16EB">
        <w:rPr>
          <w:rFonts w:ascii="Arial" w:eastAsia="Arial" w:hAnsi="Arial" w:cs="Arial"/>
          <w:b/>
          <w:bCs/>
          <w:color w:val="000000"/>
          <w:sz w:val="20"/>
          <w:szCs w:val="20"/>
        </w:rPr>
        <w:t>modulistica telematica</w:t>
      </w:r>
      <w:r w:rsidRPr="00A840FF">
        <w:rPr>
          <w:rFonts w:ascii="Arial" w:eastAsia="Arial" w:hAnsi="Arial" w:cs="Arial"/>
          <w:color w:val="000000"/>
          <w:sz w:val="20"/>
          <w:szCs w:val="20"/>
        </w:rPr>
        <w:t>, le imprese sono tenute a indicare gli estremi delle fatture relative ai costi agevolabili, oltre ad attestare formalmente il possesso della perizia tecnica asseverata e della prescritta certificazione contabile. È fondamentale evidenziare che la comunicazione di completamento non può in alcun modo avere ad oggetto beni diversi o importi superiori rispetto a quelli originariamente indicati nella comunicazione di conferma presentata in precedenza. L'avvio operativo della piattaforma rappresenta un passaggio cruciale per la concreta fruizione delle maggiorazioni deducibili previste dalla normativa vigente, offrendo certezza agli operatori economici che hanno investito nell'innovazione tecnologica ed energetica.</w:t>
      </w:r>
    </w:p>
    <w:p w14:paraId="285528DC" w14:textId="77777777" w:rsidR="0093709F" w:rsidRPr="00A840FF" w:rsidRDefault="0093709F" w:rsidP="00A840FF">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660D4920" w14:textId="77777777" w:rsidR="0093709F" w:rsidRPr="00A840FF" w:rsidRDefault="0093709F" w:rsidP="00A840FF">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7A119AFD" w14:textId="0EE484E0" w:rsidR="001C16EB" w:rsidRPr="001C16EB" w:rsidRDefault="001C16EB" w:rsidP="001C16EB">
      <w:pPr>
        <w:shd w:val="clear" w:color="auto" w:fill="FFFFFF"/>
        <w:overflowPunct w:val="0"/>
        <w:autoSpaceDE w:val="0"/>
        <w:autoSpaceDN w:val="0"/>
        <w:adjustRightInd w:val="0"/>
        <w:spacing w:line="300" w:lineRule="atLeast"/>
        <w:ind w:left="0" w:hanging="2"/>
        <w:jc w:val="both"/>
        <w:textAlignment w:val="baseline"/>
        <w:rPr>
          <w:rFonts w:ascii="Calibri" w:eastAsia="Aptos" w:hAnsi="Calibri" w:cs="Arial"/>
          <w:color w:val="0F0F0F"/>
          <w:kern w:val="2"/>
          <w:sz w:val="22"/>
          <w:szCs w:val="22"/>
          <w:lang w:eastAsia="en-US"/>
        </w:rPr>
      </w:pPr>
      <w:r w:rsidRPr="001C16EB">
        <w:rPr>
          <w:rFonts w:ascii="Calibri" w:eastAsia="Aptos" w:hAnsi="Calibri" w:cs="Arial"/>
          <w:color w:val="0F0F0F"/>
          <w:kern w:val="2"/>
          <w:sz w:val="22"/>
          <w:szCs w:val="22"/>
          <w:lang w:eastAsia="en-US"/>
        </w:rPr>
        <w:t>IVA</w:t>
      </w:r>
    </w:p>
    <w:p w14:paraId="0F806EAB" w14:textId="77777777" w:rsidR="00E02368" w:rsidRPr="001C16EB" w:rsidRDefault="00E02368" w:rsidP="001C16EB">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b/>
          <w:bCs/>
          <w:color w:val="000000"/>
          <w:sz w:val="20"/>
          <w:szCs w:val="20"/>
        </w:rPr>
      </w:pPr>
      <w:r w:rsidRPr="001C16EB">
        <w:rPr>
          <w:rFonts w:ascii="Arial" w:eastAsia="Arial" w:hAnsi="Arial" w:cs="Arial"/>
          <w:b/>
          <w:bCs/>
          <w:color w:val="000000"/>
          <w:sz w:val="20"/>
          <w:szCs w:val="20"/>
        </w:rPr>
        <w:t>Impianti fotovoltaici operativi e sistemi di accumulo: applicabile l'aliquota IVA ordinaria del 22 per cento</w:t>
      </w:r>
    </w:p>
    <w:p w14:paraId="5139098C" w14:textId="17A6B38D" w:rsidR="001C16EB" w:rsidRPr="0038099C" w:rsidRDefault="001C16EB" w:rsidP="001C16EB">
      <w:pPr>
        <w:pBdr>
          <w:top w:val="nil"/>
          <w:left w:val="nil"/>
          <w:bottom w:val="nil"/>
          <w:right w:val="nil"/>
          <w:between w:val="nil"/>
        </w:pBdr>
        <w:tabs>
          <w:tab w:val="left" w:pos="2160"/>
          <w:tab w:val="left" w:pos="3168"/>
          <w:tab w:val="left" w:pos="4838"/>
        </w:tabs>
        <w:spacing w:line="300" w:lineRule="atLeast"/>
        <w:ind w:left="0" w:hanging="2"/>
        <w:jc w:val="both"/>
        <w:rPr>
          <w:rFonts w:ascii="Arial" w:hAnsi="Arial" w:cs="Arial"/>
          <w:i/>
          <w:iCs/>
          <w:color w:val="000000"/>
          <w:sz w:val="20"/>
          <w:szCs w:val="20"/>
        </w:rPr>
      </w:pPr>
      <w:r w:rsidRPr="0038099C">
        <w:rPr>
          <w:rFonts w:ascii="Arial" w:hAnsi="Arial" w:cs="Arial"/>
          <w:i/>
          <w:iCs/>
          <w:color w:val="000000"/>
          <w:sz w:val="20"/>
          <w:szCs w:val="20"/>
        </w:rPr>
        <w:t>Agenzia delle Entrate, Risposta a istanza di interpello 1</w:t>
      </w:r>
      <w:r>
        <w:rPr>
          <w:rFonts w:ascii="Arial" w:hAnsi="Arial" w:cs="Arial"/>
          <w:i/>
          <w:iCs/>
          <w:color w:val="000000"/>
          <w:sz w:val="20"/>
          <w:szCs w:val="20"/>
        </w:rPr>
        <w:t>5 ottobre</w:t>
      </w:r>
      <w:r w:rsidRPr="0038099C">
        <w:rPr>
          <w:rFonts w:ascii="Arial" w:hAnsi="Arial" w:cs="Arial"/>
          <w:i/>
          <w:iCs/>
          <w:color w:val="000000"/>
          <w:sz w:val="20"/>
          <w:szCs w:val="20"/>
        </w:rPr>
        <w:t xml:space="preserve"> 202</w:t>
      </w:r>
      <w:r>
        <w:rPr>
          <w:rFonts w:ascii="Arial" w:hAnsi="Arial" w:cs="Arial"/>
          <w:i/>
          <w:iCs/>
          <w:color w:val="000000"/>
          <w:sz w:val="20"/>
          <w:szCs w:val="20"/>
        </w:rPr>
        <w:t>6</w:t>
      </w:r>
      <w:r w:rsidRPr="0038099C">
        <w:rPr>
          <w:rFonts w:ascii="Arial" w:hAnsi="Arial" w:cs="Arial"/>
          <w:i/>
          <w:iCs/>
          <w:color w:val="000000"/>
          <w:sz w:val="20"/>
          <w:szCs w:val="20"/>
        </w:rPr>
        <w:t xml:space="preserve">, n. </w:t>
      </w:r>
      <w:r>
        <w:rPr>
          <w:rFonts w:ascii="Arial" w:hAnsi="Arial" w:cs="Arial"/>
          <w:i/>
          <w:iCs/>
          <w:color w:val="000000"/>
          <w:sz w:val="20"/>
          <w:szCs w:val="20"/>
        </w:rPr>
        <w:t>181</w:t>
      </w:r>
    </w:p>
    <w:p w14:paraId="6B8066F8" w14:textId="57A6ADE8" w:rsidR="00E02368" w:rsidRPr="001C16EB" w:rsidRDefault="00E02368" w:rsidP="001C16EB">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1C16EB">
        <w:rPr>
          <w:rFonts w:ascii="Arial" w:eastAsia="Arial" w:hAnsi="Arial" w:cs="Arial"/>
          <w:color w:val="000000"/>
          <w:sz w:val="20"/>
          <w:szCs w:val="20"/>
        </w:rPr>
        <w:lastRenderedPageBreak/>
        <w:t xml:space="preserve">L'Agenzia delle Entrate si è pronunciata in merito al trattamento IVA applicabile alla cessione e installazione di sistemi di accumulo elettrochimico asserviti a impianti fotovoltaici già operanti. Mediante la risposta a interpello </w:t>
      </w:r>
      <w:r w:rsidR="00064DD8">
        <w:rPr>
          <w:rFonts w:ascii="Arial" w:eastAsia="Arial" w:hAnsi="Arial" w:cs="Arial"/>
          <w:color w:val="000000"/>
          <w:sz w:val="20"/>
          <w:szCs w:val="20"/>
        </w:rPr>
        <w:t>n. 181 del 15 ottobre 2026</w:t>
      </w:r>
      <w:r w:rsidRPr="001C16EB">
        <w:rPr>
          <w:rFonts w:ascii="Arial" w:eastAsia="Arial" w:hAnsi="Arial" w:cs="Arial"/>
          <w:color w:val="000000"/>
          <w:sz w:val="20"/>
          <w:szCs w:val="20"/>
        </w:rPr>
        <w:t>, l'</w:t>
      </w:r>
      <w:r w:rsidR="00064DD8">
        <w:rPr>
          <w:rFonts w:ascii="Arial" w:eastAsia="Arial" w:hAnsi="Arial" w:cs="Arial"/>
          <w:color w:val="000000"/>
          <w:sz w:val="20"/>
          <w:szCs w:val="20"/>
        </w:rPr>
        <w:t>A</w:t>
      </w:r>
      <w:r w:rsidRPr="001C16EB">
        <w:rPr>
          <w:rFonts w:ascii="Arial" w:eastAsia="Arial" w:hAnsi="Arial" w:cs="Arial"/>
          <w:color w:val="000000"/>
          <w:sz w:val="20"/>
          <w:szCs w:val="20"/>
        </w:rPr>
        <w:t>mministrazione finanziaria ha escluso l'applicabilità dell'aliquota IVA ridotta del 10 per cento, confermando l'assoggettamento dell'operazione all'aliquota ordinaria del 22%.</w:t>
      </w:r>
    </w:p>
    <w:p w14:paraId="37FB1F92" w14:textId="731B4A5F" w:rsidR="00E02368" w:rsidRPr="001C16EB" w:rsidRDefault="00E02368" w:rsidP="001C16EB">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1C16EB">
        <w:rPr>
          <w:rFonts w:ascii="Arial" w:eastAsia="Arial" w:hAnsi="Arial" w:cs="Arial"/>
          <w:color w:val="000000"/>
          <w:sz w:val="20"/>
          <w:szCs w:val="20"/>
        </w:rPr>
        <w:t xml:space="preserve">Il chiarimento ministeriale precisa che </w:t>
      </w:r>
      <w:r w:rsidRPr="00064DD8">
        <w:rPr>
          <w:rFonts w:ascii="Arial" w:eastAsia="Arial" w:hAnsi="Arial" w:cs="Arial"/>
          <w:b/>
          <w:bCs/>
          <w:color w:val="000000"/>
          <w:sz w:val="20"/>
          <w:szCs w:val="20"/>
        </w:rPr>
        <w:t>l'accumulatore non assume la natura di componente direttamente finalizzato alla produzione di energia</w:t>
      </w:r>
      <w:r w:rsidRPr="001C16EB">
        <w:rPr>
          <w:rFonts w:ascii="Arial" w:eastAsia="Arial" w:hAnsi="Arial" w:cs="Arial"/>
          <w:color w:val="000000"/>
          <w:sz w:val="20"/>
          <w:szCs w:val="20"/>
        </w:rPr>
        <w:t>, bensì la funzione esclusiva di immagazzinarla successivamente. Di conseguenza, l'infrastruttura non può essere qualificata come un ampliamento o una nuova parziale costruzione dell'impianto fotovoltaico preesistente. Poiché l'impianto principale risulta già in esercizio ed è autonomamente idoneo alla produzione di energia elettrica anche in assenza del dispositivo di accumulo, non trovano applicazione le agevolazioni previste dalla Tabella A allegata al decreto IVA per gli impianti di produzione energetica da fonti rinnovabili.</w:t>
      </w:r>
    </w:p>
    <w:p w14:paraId="37F6F809" w14:textId="00DB8141" w:rsidR="00E02368" w:rsidRPr="001C16EB" w:rsidRDefault="00E02368" w:rsidP="001C16EB">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1C16EB">
        <w:rPr>
          <w:rFonts w:ascii="Arial" w:eastAsia="Arial" w:hAnsi="Arial" w:cs="Arial"/>
          <w:color w:val="000000"/>
          <w:sz w:val="20"/>
          <w:szCs w:val="20"/>
        </w:rPr>
        <w:t>La presa di posizione dell'</w:t>
      </w:r>
      <w:r w:rsidR="00064DD8">
        <w:rPr>
          <w:rFonts w:ascii="Arial" w:eastAsia="Arial" w:hAnsi="Arial" w:cs="Arial"/>
          <w:color w:val="000000"/>
          <w:sz w:val="20"/>
          <w:szCs w:val="20"/>
        </w:rPr>
        <w:t>A</w:t>
      </w:r>
      <w:r w:rsidRPr="001C16EB">
        <w:rPr>
          <w:rFonts w:ascii="Arial" w:eastAsia="Arial" w:hAnsi="Arial" w:cs="Arial"/>
          <w:color w:val="000000"/>
          <w:sz w:val="20"/>
          <w:szCs w:val="20"/>
        </w:rPr>
        <w:t>mministrazione traccia una linea netta nella gestione contabile e fiscale degli interventi di efficientamento impiantistico. Per le imprese e i professionisti che operano nel settore delle energie rinnovabili, la corretta qualificazione della fornitura "chiavi in mano" di sistemi di accumulo su impianti esistenti richiede quindi un'attenta valutazione nella fatturazione, escludendo la possibilità di applicare regimi agevolati che restano circoscritti alla fase di prima realizzazione o costruzione organica dell'impianto fotovoltaico.</w:t>
      </w:r>
    </w:p>
    <w:p w14:paraId="6E7069D6" w14:textId="77777777" w:rsidR="00E02368" w:rsidRPr="001C16EB" w:rsidRDefault="00E02368" w:rsidP="001C16EB">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3165A722" w14:textId="77777777" w:rsidR="00E02368" w:rsidRPr="001C16EB" w:rsidRDefault="00E02368" w:rsidP="001C16EB">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7816D565" w14:textId="49545019" w:rsidR="00064DD8" w:rsidRPr="00064DD8" w:rsidRDefault="00064DD8" w:rsidP="00064DD8">
      <w:pPr>
        <w:shd w:val="clear" w:color="auto" w:fill="FFFFFF"/>
        <w:overflowPunct w:val="0"/>
        <w:autoSpaceDE w:val="0"/>
        <w:autoSpaceDN w:val="0"/>
        <w:adjustRightInd w:val="0"/>
        <w:spacing w:line="300" w:lineRule="atLeast"/>
        <w:ind w:left="0" w:hanging="2"/>
        <w:jc w:val="both"/>
        <w:textAlignment w:val="baseline"/>
        <w:rPr>
          <w:rFonts w:ascii="Calibri" w:eastAsia="Aptos" w:hAnsi="Calibri" w:cs="Arial"/>
          <w:color w:val="0F0F0F"/>
          <w:kern w:val="2"/>
          <w:sz w:val="22"/>
          <w:szCs w:val="22"/>
          <w:lang w:eastAsia="en-US"/>
        </w:rPr>
      </w:pPr>
      <w:r w:rsidRPr="00064DD8">
        <w:rPr>
          <w:rFonts w:ascii="Calibri" w:eastAsia="Aptos" w:hAnsi="Calibri" w:cs="Arial"/>
          <w:color w:val="0F0F0F"/>
          <w:kern w:val="2"/>
          <w:sz w:val="22"/>
          <w:szCs w:val="22"/>
          <w:lang w:eastAsia="en-US"/>
        </w:rPr>
        <w:t>PREVIDENZA</w:t>
      </w:r>
    </w:p>
    <w:p w14:paraId="17773EEE" w14:textId="77777777" w:rsidR="00E02368" w:rsidRPr="00064DD8" w:rsidRDefault="00E02368" w:rsidP="00064DD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b/>
          <w:bCs/>
          <w:color w:val="000000"/>
          <w:sz w:val="20"/>
          <w:szCs w:val="20"/>
        </w:rPr>
      </w:pPr>
      <w:r w:rsidRPr="00064DD8">
        <w:rPr>
          <w:rFonts w:ascii="Arial" w:eastAsia="Arial" w:hAnsi="Arial" w:cs="Arial"/>
          <w:b/>
          <w:bCs/>
          <w:color w:val="000000"/>
          <w:sz w:val="20"/>
          <w:szCs w:val="20"/>
        </w:rPr>
        <w:t>Previdenza complementare: sono online i simulatori del Ministero</w:t>
      </w:r>
    </w:p>
    <w:p w14:paraId="44C9ABC5" w14:textId="76DB2EA9" w:rsidR="0069644E" w:rsidRPr="00064DD8" w:rsidRDefault="0069644E" w:rsidP="00064DD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064DD8">
        <w:rPr>
          <w:rFonts w:ascii="Arial" w:eastAsia="Arial" w:hAnsi="Arial" w:cs="Arial"/>
          <w:color w:val="000000"/>
          <w:sz w:val="20"/>
          <w:szCs w:val="20"/>
        </w:rPr>
        <w:t>Il</w:t>
      </w:r>
      <w:r w:rsidR="00064DD8">
        <w:rPr>
          <w:rFonts w:ascii="Arial" w:eastAsia="Arial" w:hAnsi="Arial" w:cs="Arial"/>
          <w:color w:val="000000"/>
          <w:sz w:val="20"/>
          <w:szCs w:val="20"/>
        </w:rPr>
        <w:t xml:space="preserve"> </w:t>
      </w:r>
      <w:r w:rsidRPr="00064DD8">
        <w:rPr>
          <w:rFonts w:ascii="Arial" w:eastAsia="Arial" w:hAnsi="Arial" w:cs="Arial"/>
          <w:color w:val="000000"/>
          <w:sz w:val="20"/>
          <w:szCs w:val="20"/>
        </w:rPr>
        <w:t>Portale della previdenza complementare</w:t>
      </w:r>
      <w:r w:rsidR="00064DD8">
        <w:rPr>
          <w:rFonts w:ascii="Arial" w:eastAsia="Arial" w:hAnsi="Arial" w:cs="Arial"/>
          <w:color w:val="000000"/>
          <w:sz w:val="20"/>
          <w:szCs w:val="20"/>
        </w:rPr>
        <w:t xml:space="preserve"> </w:t>
      </w:r>
      <w:r w:rsidRPr="00064DD8">
        <w:rPr>
          <w:rFonts w:ascii="Arial" w:eastAsia="Arial" w:hAnsi="Arial" w:cs="Arial"/>
          <w:color w:val="000000"/>
          <w:sz w:val="20"/>
          <w:szCs w:val="20"/>
        </w:rPr>
        <w:t>del Ministero del Lavoro e delle Politiche Sociali</w:t>
      </w:r>
      <w:r w:rsidR="00064DD8">
        <w:rPr>
          <w:rFonts w:ascii="Arial" w:eastAsia="Arial" w:hAnsi="Arial" w:cs="Arial"/>
          <w:color w:val="000000"/>
          <w:sz w:val="20"/>
          <w:szCs w:val="20"/>
        </w:rPr>
        <w:t xml:space="preserve"> </w:t>
      </w:r>
      <w:r w:rsidRPr="00064DD8">
        <w:rPr>
          <w:rFonts w:ascii="Arial" w:eastAsia="Arial" w:hAnsi="Arial" w:cs="Arial"/>
          <w:color w:val="000000"/>
          <w:sz w:val="20"/>
          <w:szCs w:val="20"/>
        </w:rPr>
        <w:t xml:space="preserve">si è arricchito di </w:t>
      </w:r>
      <w:r w:rsidRPr="00064DD8">
        <w:rPr>
          <w:rFonts w:ascii="Arial" w:eastAsia="Arial" w:hAnsi="Arial" w:cs="Arial"/>
          <w:b/>
          <w:bCs/>
          <w:color w:val="000000"/>
          <w:sz w:val="20"/>
          <w:szCs w:val="20"/>
        </w:rPr>
        <w:t>due nuovi simulatori online</w:t>
      </w:r>
      <w:r w:rsidRPr="00064DD8">
        <w:rPr>
          <w:rFonts w:ascii="Arial" w:eastAsia="Arial" w:hAnsi="Arial" w:cs="Arial"/>
          <w:color w:val="000000"/>
          <w:sz w:val="20"/>
          <w:szCs w:val="20"/>
        </w:rPr>
        <w:t xml:space="preserve">, realizzati in collaborazione con Mefop </w:t>
      </w:r>
      <w:r w:rsidR="00064DD8">
        <w:rPr>
          <w:rFonts w:ascii="Arial" w:eastAsia="Arial" w:hAnsi="Arial" w:cs="Arial"/>
          <w:color w:val="000000"/>
          <w:sz w:val="20"/>
          <w:szCs w:val="20"/>
        </w:rPr>
        <w:t>s</w:t>
      </w:r>
      <w:r w:rsidRPr="00064DD8">
        <w:rPr>
          <w:rFonts w:ascii="Arial" w:eastAsia="Arial" w:hAnsi="Arial" w:cs="Arial"/>
          <w:color w:val="000000"/>
          <w:sz w:val="20"/>
          <w:szCs w:val="20"/>
        </w:rPr>
        <w:t>.p.</w:t>
      </w:r>
      <w:r w:rsidR="00064DD8">
        <w:rPr>
          <w:rFonts w:ascii="Arial" w:eastAsia="Arial" w:hAnsi="Arial" w:cs="Arial"/>
          <w:color w:val="000000"/>
          <w:sz w:val="20"/>
          <w:szCs w:val="20"/>
        </w:rPr>
        <w:t>a</w:t>
      </w:r>
      <w:r w:rsidRPr="00064DD8">
        <w:rPr>
          <w:rFonts w:ascii="Arial" w:eastAsia="Arial" w:hAnsi="Arial" w:cs="Arial"/>
          <w:color w:val="000000"/>
          <w:sz w:val="20"/>
          <w:szCs w:val="20"/>
        </w:rPr>
        <w:t>., società partecipata dal Ministero dell’Economia e delle Finanze che promuove lo sviluppo del mercato dei fondi pensione.</w:t>
      </w:r>
    </w:p>
    <w:p w14:paraId="07CF781D" w14:textId="77777777" w:rsidR="0069644E" w:rsidRPr="00064DD8" w:rsidRDefault="0069644E" w:rsidP="00064DD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064DD8">
        <w:rPr>
          <w:rFonts w:ascii="Arial" w:eastAsia="Arial" w:hAnsi="Arial" w:cs="Arial"/>
          <w:color w:val="000000"/>
          <w:sz w:val="20"/>
          <w:szCs w:val="20"/>
        </w:rPr>
        <w:t>I nuovi strumenti sono pensati per offrire a lavoratori e imprese un supporto concreto nella comprensione delle opportunità offerte dalla previdenza complementare, aiutandoli a valutarne gli effetti sulle prospettive pensionistiche e le implicazioni delle scelte relative alla destinazione del trattamento di fine rapporto (TFR). Le elaborazioni prodotte non hanno valore certificativo né costituiscono attestazioni ufficiali. I risultati forniti rappresentano esclusivamente stime orientative, basate sui dati inseriti dagli utenti e sulle ipotesi di calcolo adottate.</w:t>
      </w:r>
    </w:p>
    <w:p w14:paraId="3D3FB851" w14:textId="2AC41FCE" w:rsidR="0069644E" w:rsidRPr="00064DD8" w:rsidRDefault="0069644E" w:rsidP="00064DD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064DD8">
        <w:rPr>
          <w:rFonts w:ascii="Arial" w:eastAsia="Arial" w:hAnsi="Arial" w:cs="Arial"/>
          <w:color w:val="000000"/>
          <w:sz w:val="20"/>
          <w:szCs w:val="20"/>
        </w:rPr>
        <w:t>Il</w:t>
      </w:r>
      <w:r w:rsidR="00064DD8">
        <w:rPr>
          <w:rFonts w:ascii="Arial" w:eastAsia="Arial" w:hAnsi="Arial" w:cs="Arial"/>
          <w:color w:val="000000"/>
          <w:sz w:val="20"/>
          <w:szCs w:val="20"/>
        </w:rPr>
        <w:t xml:space="preserve"> </w:t>
      </w:r>
      <w:r w:rsidRPr="00064DD8">
        <w:rPr>
          <w:rFonts w:ascii="Arial" w:eastAsia="Arial" w:hAnsi="Arial" w:cs="Arial"/>
          <w:sz w:val="20"/>
          <w:szCs w:val="20"/>
        </w:rPr>
        <w:t>primo simulatore</w:t>
      </w:r>
      <w:r w:rsidR="00064DD8">
        <w:rPr>
          <w:rFonts w:ascii="Arial" w:eastAsia="Arial" w:hAnsi="Arial" w:cs="Arial"/>
          <w:color w:val="000000"/>
          <w:sz w:val="20"/>
          <w:szCs w:val="20"/>
        </w:rPr>
        <w:t xml:space="preserve"> </w:t>
      </w:r>
      <w:r w:rsidRPr="00064DD8">
        <w:rPr>
          <w:rFonts w:ascii="Arial" w:eastAsia="Arial" w:hAnsi="Arial" w:cs="Arial"/>
          <w:color w:val="000000"/>
          <w:sz w:val="20"/>
          <w:szCs w:val="20"/>
        </w:rPr>
        <w:t>è</w:t>
      </w:r>
      <w:r w:rsidR="00064DD8">
        <w:rPr>
          <w:rFonts w:ascii="Arial" w:eastAsia="Arial" w:hAnsi="Arial" w:cs="Arial"/>
          <w:color w:val="000000"/>
          <w:sz w:val="20"/>
          <w:szCs w:val="20"/>
        </w:rPr>
        <w:t xml:space="preserve"> </w:t>
      </w:r>
      <w:r w:rsidRPr="00064DD8">
        <w:rPr>
          <w:rFonts w:ascii="Arial" w:eastAsia="Arial" w:hAnsi="Arial" w:cs="Arial"/>
          <w:b/>
          <w:bCs/>
          <w:color w:val="000000"/>
          <w:sz w:val="20"/>
          <w:szCs w:val="20"/>
        </w:rPr>
        <w:t>rivolto ai lavoratori</w:t>
      </w:r>
      <w:r w:rsidR="00064DD8">
        <w:rPr>
          <w:rFonts w:ascii="Arial" w:eastAsia="Arial" w:hAnsi="Arial" w:cs="Arial"/>
          <w:b/>
          <w:bCs/>
          <w:color w:val="000000"/>
          <w:sz w:val="20"/>
          <w:szCs w:val="20"/>
        </w:rPr>
        <w:t xml:space="preserve"> </w:t>
      </w:r>
      <w:r w:rsidRPr="00064DD8">
        <w:rPr>
          <w:rFonts w:ascii="Arial" w:eastAsia="Arial" w:hAnsi="Arial" w:cs="Arial"/>
          <w:color w:val="000000"/>
          <w:sz w:val="20"/>
          <w:szCs w:val="20"/>
        </w:rPr>
        <w:t>e consente di ottenere una stima indicativa della pensione futura, confrontando la prestazione attesa dal sistema previdenziale pubblico con quella potenzialmente derivante dall’adesione a una forma pensionistica complementare. L’utente inserisce autonomamente i propri dati e può modificare i parametri per confrontare diverse ipotesi e comprenderne le possibili conseguenze.</w:t>
      </w:r>
    </w:p>
    <w:p w14:paraId="508ED5B7" w14:textId="7AAF10DC" w:rsidR="0069644E" w:rsidRPr="00064DD8" w:rsidRDefault="0069644E" w:rsidP="00064DD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064DD8">
        <w:rPr>
          <w:rFonts w:ascii="Arial" w:eastAsia="Arial" w:hAnsi="Arial" w:cs="Arial"/>
          <w:color w:val="000000"/>
          <w:sz w:val="20"/>
          <w:szCs w:val="20"/>
        </w:rPr>
        <w:t>Il</w:t>
      </w:r>
      <w:r w:rsidR="00064DD8">
        <w:rPr>
          <w:rFonts w:ascii="Arial" w:eastAsia="Arial" w:hAnsi="Arial" w:cs="Arial"/>
          <w:color w:val="000000"/>
          <w:sz w:val="20"/>
          <w:szCs w:val="20"/>
        </w:rPr>
        <w:t xml:space="preserve"> </w:t>
      </w:r>
      <w:r w:rsidRPr="00064DD8">
        <w:rPr>
          <w:rFonts w:ascii="Arial" w:eastAsia="Arial" w:hAnsi="Arial" w:cs="Arial"/>
          <w:sz w:val="20"/>
          <w:szCs w:val="20"/>
        </w:rPr>
        <w:t>secondo simulatore</w:t>
      </w:r>
      <w:r w:rsidR="00064DD8">
        <w:rPr>
          <w:rFonts w:ascii="Arial" w:eastAsia="Arial" w:hAnsi="Arial" w:cs="Arial"/>
          <w:color w:val="000000"/>
          <w:sz w:val="20"/>
          <w:szCs w:val="20"/>
        </w:rPr>
        <w:t xml:space="preserve"> </w:t>
      </w:r>
      <w:r w:rsidRPr="00064DD8">
        <w:rPr>
          <w:rFonts w:ascii="Arial" w:eastAsia="Arial" w:hAnsi="Arial" w:cs="Arial"/>
          <w:color w:val="000000"/>
          <w:sz w:val="20"/>
          <w:szCs w:val="20"/>
        </w:rPr>
        <w:t>è</w:t>
      </w:r>
      <w:r w:rsidR="00064DD8">
        <w:rPr>
          <w:rFonts w:ascii="Arial" w:eastAsia="Arial" w:hAnsi="Arial" w:cs="Arial"/>
          <w:color w:val="000000"/>
          <w:sz w:val="20"/>
          <w:szCs w:val="20"/>
        </w:rPr>
        <w:t xml:space="preserve"> </w:t>
      </w:r>
      <w:r w:rsidRPr="00064DD8">
        <w:rPr>
          <w:rFonts w:ascii="Arial" w:eastAsia="Arial" w:hAnsi="Arial" w:cs="Arial"/>
          <w:b/>
          <w:bCs/>
          <w:color w:val="000000"/>
          <w:sz w:val="20"/>
          <w:szCs w:val="20"/>
        </w:rPr>
        <w:t>dedicato alle imprese</w:t>
      </w:r>
      <w:r w:rsidR="00064DD8">
        <w:rPr>
          <w:rFonts w:ascii="Arial" w:eastAsia="Arial" w:hAnsi="Arial" w:cs="Arial"/>
          <w:color w:val="000000"/>
          <w:sz w:val="20"/>
          <w:szCs w:val="20"/>
        </w:rPr>
        <w:t xml:space="preserve"> </w:t>
      </w:r>
      <w:r w:rsidRPr="00064DD8">
        <w:rPr>
          <w:rFonts w:ascii="Arial" w:eastAsia="Arial" w:hAnsi="Arial" w:cs="Arial"/>
          <w:color w:val="000000"/>
          <w:sz w:val="20"/>
          <w:szCs w:val="20"/>
        </w:rPr>
        <w:t>e permette di stimare i vantaggi fiscali e contributivi, nonché le misure compensative previste per i datori di lavoro che destinano il TFR dei dipendenti ai fondi pensione. Lo strumento consente inoltre di confrontare tali benefici con i potenziali costi associati ad altre forme di finanziamento, fornendo elementi utili a valutare le diverse opzioni disponibili.</w:t>
      </w:r>
    </w:p>
    <w:p w14:paraId="08301785" w14:textId="77777777" w:rsidR="00E02368" w:rsidRPr="00064DD8" w:rsidRDefault="00E02368" w:rsidP="00064DD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66AE5DA6" w14:textId="77777777" w:rsidR="00E02368" w:rsidRDefault="00E02368" w:rsidP="00064DD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4D15252F" w14:textId="25997C3D" w:rsidR="00064DD8" w:rsidRDefault="00064DD8" w:rsidP="00064DD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Pr>
          <w:rFonts w:ascii="Arial" w:eastAsia="Arial" w:hAnsi="Arial" w:cs="Arial"/>
          <w:color w:val="000000"/>
          <w:sz w:val="20"/>
          <w:szCs w:val="20"/>
        </w:rPr>
        <w:br w:type="page"/>
      </w:r>
    </w:p>
    <w:p w14:paraId="0C3FEC42" w14:textId="77777777" w:rsidR="00064DD8" w:rsidRPr="00064DD8" w:rsidRDefault="00064DD8" w:rsidP="00064DD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tbl>
      <w:tblPr>
        <w:tblStyle w:val="ae"/>
        <w:tblW w:w="9670" w:type="dxa"/>
        <w:tblInd w:w="0" w:type="dxa"/>
        <w:tblLayout w:type="fixed"/>
        <w:tblLook w:val="0000" w:firstRow="0" w:lastRow="0" w:firstColumn="0" w:lastColumn="0" w:noHBand="0" w:noVBand="0"/>
      </w:tblPr>
      <w:tblGrid>
        <w:gridCol w:w="9670"/>
      </w:tblGrid>
      <w:tr w:rsidR="0093709F" w14:paraId="7787E0F0" w14:textId="77777777">
        <w:trPr>
          <w:trHeight w:val="567"/>
        </w:trPr>
        <w:tc>
          <w:tcPr>
            <w:tcW w:w="9670" w:type="dxa"/>
            <w:tcBorders>
              <w:bottom w:val="single" w:sz="4" w:space="0" w:color="366DB3"/>
            </w:tcBorders>
            <w:vAlign w:val="center"/>
          </w:tcPr>
          <w:p w14:paraId="64143D7D" w14:textId="77777777" w:rsidR="0093709F" w:rsidRDefault="00DB7C5E">
            <w:pPr>
              <w:pBdr>
                <w:top w:val="nil"/>
                <w:left w:val="nil"/>
                <w:bottom w:val="nil"/>
                <w:right w:val="nil"/>
                <w:between w:val="nil"/>
              </w:pBdr>
              <w:spacing w:line="240" w:lineRule="auto"/>
              <w:ind w:left="1" w:right="-30" w:hanging="3"/>
              <w:jc w:val="center"/>
              <w:rPr>
                <w:rFonts w:ascii="Arial" w:eastAsia="Arial" w:hAnsi="Arial" w:cs="Arial"/>
                <w:b/>
                <w:color w:val="366DB3"/>
                <w:sz w:val="28"/>
                <w:szCs w:val="28"/>
              </w:rPr>
            </w:pPr>
            <w:r>
              <w:rPr>
                <w:rFonts w:ascii="Arial" w:eastAsia="Arial" w:hAnsi="Arial" w:cs="Arial"/>
                <w:b/>
                <w:color w:val="366DB3"/>
                <w:sz w:val="28"/>
                <w:szCs w:val="28"/>
              </w:rPr>
              <w:t>APPROFONDIMENTI</w:t>
            </w:r>
          </w:p>
        </w:tc>
      </w:tr>
    </w:tbl>
    <w:p w14:paraId="32CD530C" w14:textId="77777777" w:rsidR="0093709F" w:rsidRDefault="0093709F" w:rsidP="00064DD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783B80C7" w14:textId="77777777" w:rsidR="008A55CE" w:rsidRPr="00DD1E32" w:rsidRDefault="008A55CE" w:rsidP="008A55CE">
      <w:pPr>
        <w:shd w:val="clear" w:color="auto" w:fill="FFFFFF"/>
        <w:overflowPunct w:val="0"/>
        <w:autoSpaceDE w:val="0"/>
        <w:autoSpaceDN w:val="0"/>
        <w:adjustRightInd w:val="0"/>
        <w:spacing w:line="300" w:lineRule="atLeast"/>
        <w:ind w:left="0" w:hanging="2"/>
        <w:jc w:val="center"/>
        <w:textAlignment w:val="baseline"/>
        <w:rPr>
          <w:rFonts w:ascii="Calibri" w:eastAsia="Aptos" w:hAnsi="Calibri" w:cs="Arial"/>
          <w:color w:val="0F0F0F"/>
          <w:kern w:val="2"/>
          <w:sz w:val="22"/>
          <w:szCs w:val="22"/>
          <w:lang w:eastAsia="en-US"/>
        </w:rPr>
      </w:pPr>
      <w:r w:rsidRPr="00DD1E32">
        <w:rPr>
          <w:rFonts w:ascii="Calibri" w:eastAsia="Aptos" w:hAnsi="Calibri" w:cs="Arial"/>
          <w:color w:val="0F0F0F"/>
          <w:kern w:val="2"/>
          <w:sz w:val="22"/>
          <w:szCs w:val="22"/>
          <w:lang w:eastAsia="en-US"/>
        </w:rPr>
        <w:t>ACCERTAMENTO E RISCOSSIONE</w:t>
      </w:r>
    </w:p>
    <w:p w14:paraId="1DC85BF0" w14:textId="77777777" w:rsidR="008A55CE" w:rsidRPr="00B52BCE" w:rsidRDefault="008A55CE" w:rsidP="008A55CE">
      <w:pPr>
        <w:pBdr>
          <w:between w:val="nil"/>
        </w:pBdr>
        <w:spacing w:line="300" w:lineRule="atLeast"/>
        <w:ind w:left="0" w:hanging="2"/>
        <w:jc w:val="center"/>
        <w:rPr>
          <w:rFonts w:ascii="Arial" w:eastAsia="Arial" w:hAnsi="Arial" w:cs="Arial"/>
          <w:b/>
          <w:bCs/>
          <w:color w:val="000000"/>
          <w:sz w:val="20"/>
          <w:szCs w:val="20"/>
        </w:rPr>
      </w:pPr>
      <w:r w:rsidRPr="00B52BCE">
        <w:rPr>
          <w:rFonts w:ascii="Arial" w:eastAsia="Arial" w:hAnsi="Arial" w:cs="Arial"/>
          <w:b/>
          <w:bCs/>
          <w:color w:val="000000"/>
          <w:sz w:val="20"/>
          <w:szCs w:val="20"/>
        </w:rPr>
        <w:t xml:space="preserve">Concordato </w:t>
      </w:r>
      <w:r>
        <w:rPr>
          <w:rFonts w:ascii="Arial" w:eastAsia="Arial" w:hAnsi="Arial" w:cs="Arial"/>
          <w:b/>
          <w:bCs/>
          <w:color w:val="000000"/>
          <w:sz w:val="20"/>
          <w:szCs w:val="20"/>
        </w:rPr>
        <w:t>p</w:t>
      </w:r>
      <w:r w:rsidRPr="00B52BCE">
        <w:rPr>
          <w:rFonts w:ascii="Arial" w:eastAsia="Arial" w:hAnsi="Arial" w:cs="Arial"/>
          <w:b/>
          <w:bCs/>
          <w:color w:val="000000"/>
          <w:sz w:val="20"/>
          <w:szCs w:val="20"/>
        </w:rPr>
        <w:t xml:space="preserve">reventivo </w:t>
      </w:r>
      <w:r>
        <w:rPr>
          <w:rFonts w:ascii="Arial" w:eastAsia="Arial" w:hAnsi="Arial" w:cs="Arial"/>
          <w:b/>
          <w:bCs/>
          <w:color w:val="000000"/>
          <w:sz w:val="20"/>
          <w:szCs w:val="20"/>
        </w:rPr>
        <w:t>b</w:t>
      </w:r>
      <w:r w:rsidRPr="00B52BCE">
        <w:rPr>
          <w:rFonts w:ascii="Arial" w:eastAsia="Arial" w:hAnsi="Arial" w:cs="Arial"/>
          <w:b/>
          <w:bCs/>
          <w:color w:val="000000"/>
          <w:sz w:val="20"/>
          <w:szCs w:val="20"/>
        </w:rPr>
        <w:t>iennale 2026-2027 e crediti IVA infrannuali: regole operative sul visto di conformità</w:t>
      </w:r>
    </w:p>
    <w:p w14:paraId="2A7BD397" w14:textId="77777777" w:rsidR="008A55CE" w:rsidRPr="00B52BCE" w:rsidRDefault="008A55CE" w:rsidP="008A55CE">
      <w:pPr>
        <w:pBdr>
          <w:between w:val="nil"/>
        </w:pBdr>
        <w:spacing w:line="300" w:lineRule="atLeast"/>
        <w:ind w:left="0" w:hanging="2"/>
        <w:jc w:val="both"/>
        <w:rPr>
          <w:rFonts w:ascii="Arial" w:eastAsia="Arial" w:hAnsi="Arial" w:cs="Arial"/>
          <w:color w:val="000000"/>
          <w:sz w:val="20"/>
          <w:szCs w:val="20"/>
        </w:rPr>
      </w:pPr>
      <w:r w:rsidRPr="00B52BCE">
        <w:rPr>
          <w:rFonts w:ascii="Arial" w:eastAsia="Arial" w:hAnsi="Arial" w:cs="Arial"/>
          <w:color w:val="000000"/>
          <w:sz w:val="20"/>
          <w:szCs w:val="20"/>
        </w:rPr>
        <w:t xml:space="preserve">L'adesione al </w:t>
      </w:r>
      <w:r>
        <w:rPr>
          <w:rFonts w:ascii="Arial" w:eastAsia="Arial" w:hAnsi="Arial" w:cs="Arial"/>
          <w:color w:val="000000"/>
          <w:sz w:val="20"/>
          <w:szCs w:val="20"/>
        </w:rPr>
        <w:t>c</w:t>
      </w:r>
      <w:r w:rsidRPr="00B52BCE">
        <w:rPr>
          <w:rFonts w:ascii="Arial" w:eastAsia="Arial" w:hAnsi="Arial" w:cs="Arial"/>
          <w:color w:val="000000"/>
          <w:sz w:val="20"/>
          <w:szCs w:val="20"/>
        </w:rPr>
        <w:t xml:space="preserve">oncordato </w:t>
      </w:r>
      <w:r>
        <w:rPr>
          <w:rFonts w:ascii="Arial" w:eastAsia="Arial" w:hAnsi="Arial" w:cs="Arial"/>
          <w:color w:val="000000"/>
          <w:sz w:val="20"/>
          <w:szCs w:val="20"/>
        </w:rPr>
        <w:t>p</w:t>
      </w:r>
      <w:r w:rsidRPr="00B52BCE">
        <w:rPr>
          <w:rFonts w:ascii="Arial" w:eastAsia="Arial" w:hAnsi="Arial" w:cs="Arial"/>
          <w:color w:val="000000"/>
          <w:sz w:val="20"/>
          <w:szCs w:val="20"/>
        </w:rPr>
        <w:t xml:space="preserve">reventivo </w:t>
      </w:r>
      <w:r>
        <w:rPr>
          <w:rFonts w:ascii="Arial" w:eastAsia="Arial" w:hAnsi="Arial" w:cs="Arial"/>
          <w:color w:val="000000"/>
          <w:sz w:val="20"/>
          <w:szCs w:val="20"/>
        </w:rPr>
        <w:t>b</w:t>
      </w:r>
      <w:r w:rsidRPr="00B52BCE">
        <w:rPr>
          <w:rFonts w:ascii="Arial" w:eastAsia="Arial" w:hAnsi="Arial" w:cs="Arial"/>
          <w:color w:val="000000"/>
          <w:sz w:val="20"/>
          <w:szCs w:val="20"/>
        </w:rPr>
        <w:t xml:space="preserve">iennale per il biennio 2026-2027 attribuisce ai contribuenti il pacchetto di premialità ISA previsto dall'art. 9-bis del D.L. </w:t>
      </w:r>
      <w:r>
        <w:rPr>
          <w:rFonts w:ascii="Arial" w:eastAsia="Arial" w:hAnsi="Arial" w:cs="Arial"/>
          <w:color w:val="000000"/>
          <w:sz w:val="20"/>
          <w:szCs w:val="20"/>
        </w:rPr>
        <w:t xml:space="preserve">n. </w:t>
      </w:r>
      <w:r w:rsidRPr="00B52BCE">
        <w:rPr>
          <w:rFonts w:ascii="Arial" w:eastAsia="Arial" w:hAnsi="Arial" w:cs="Arial"/>
          <w:color w:val="000000"/>
          <w:sz w:val="20"/>
          <w:szCs w:val="20"/>
        </w:rPr>
        <w:t>50/2017, tra cui spicca l'</w:t>
      </w:r>
      <w:r w:rsidRPr="00DD1E32">
        <w:rPr>
          <w:rFonts w:ascii="Arial" w:eastAsia="Arial" w:hAnsi="Arial" w:cs="Arial"/>
          <w:b/>
          <w:bCs/>
          <w:color w:val="000000"/>
          <w:sz w:val="20"/>
          <w:szCs w:val="20"/>
        </w:rPr>
        <w:t>innalzamento delle soglie di esonero</w:t>
      </w:r>
      <w:r w:rsidRPr="00B52BCE">
        <w:rPr>
          <w:rFonts w:ascii="Arial" w:eastAsia="Arial" w:hAnsi="Arial" w:cs="Arial"/>
          <w:color w:val="000000"/>
          <w:sz w:val="20"/>
          <w:szCs w:val="20"/>
        </w:rPr>
        <w:t xml:space="preserve"> dall'apposizione del visto di conformità per le compensazioni orizzontali dei crediti IVA.</w:t>
      </w:r>
    </w:p>
    <w:p w14:paraId="6B7113AE" w14:textId="77777777" w:rsidR="008A55CE" w:rsidRPr="00B52BCE" w:rsidRDefault="008A55CE" w:rsidP="008A55CE">
      <w:pPr>
        <w:pBdr>
          <w:between w:val="nil"/>
        </w:pBdr>
        <w:spacing w:line="300" w:lineRule="atLeast"/>
        <w:ind w:left="0" w:hanging="2"/>
        <w:jc w:val="both"/>
        <w:rPr>
          <w:rFonts w:ascii="Arial" w:eastAsia="Arial" w:hAnsi="Arial" w:cs="Arial"/>
          <w:color w:val="000000"/>
          <w:sz w:val="20"/>
          <w:szCs w:val="20"/>
        </w:rPr>
      </w:pPr>
      <w:r w:rsidRPr="00B52BCE">
        <w:rPr>
          <w:rFonts w:ascii="Arial" w:eastAsia="Arial" w:hAnsi="Arial" w:cs="Arial"/>
          <w:color w:val="000000"/>
          <w:sz w:val="20"/>
          <w:szCs w:val="20"/>
        </w:rPr>
        <w:t>Tuttavia, la gestione dei crediti IVA infrannuali (modello IVA TR) maturati nel corso del 2026 richiede particolare cautela: la sovrapposizione tra la tempistica dell'opzione in dichiarazione dei redditi e il meccanismo di decorrenza temporale fissato dall'Amministrazione finanziaria esclude automatismi retroattivi o estensioni indebite.</w:t>
      </w:r>
    </w:p>
    <w:p w14:paraId="76FEA6A3" w14:textId="77777777" w:rsidR="00064DD8" w:rsidRDefault="00064DD8" w:rsidP="00064DD8">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043980FC"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b/>
          <w:bCs/>
          <w:color w:val="000000"/>
          <w:sz w:val="20"/>
          <w:szCs w:val="20"/>
        </w:rPr>
        <w:t>Piena legittimità per i primi trimestri già compensati con visto</w:t>
      </w:r>
    </w:p>
    <w:p w14:paraId="2D1602DD" w14:textId="296D6398"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I crediti IVA infrannuali relativi al primo e al secondo trimestre 2026 compensati orizzontalmente mediante modello IVA TR con apposizione del visto di conformità sono</w:t>
      </w:r>
      <w:r w:rsidR="008A55CE">
        <w:rPr>
          <w:rFonts w:ascii="Arial" w:eastAsia="Arial" w:hAnsi="Arial" w:cs="Arial"/>
          <w:color w:val="000000"/>
          <w:sz w:val="20"/>
          <w:szCs w:val="20"/>
        </w:rPr>
        <w:t xml:space="preserve"> </w:t>
      </w:r>
      <w:r w:rsidRPr="008A55CE">
        <w:rPr>
          <w:rFonts w:ascii="Arial" w:eastAsia="Arial" w:hAnsi="Arial" w:cs="Arial"/>
          <w:b/>
          <w:bCs/>
          <w:color w:val="000000"/>
          <w:sz w:val="20"/>
          <w:szCs w:val="20"/>
        </w:rPr>
        <w:t>pienamente validi e conformi alle norme tributarie vigenti al momento dell'invio</w:t>
      </w:r>
      <w:r w:rsidRPr="008A55CE">
        <w:rPr>
          <w:rFonts w:ascii="Arial" w:eastAsia="Arial" w:hAnsi="Arial" w:cs="Arial"/>
          <w:color w:val="000000"/>
          <w:sz w:val="20"/>
          <w:szCs w:val="20"/>
        </w:rPr>
        <w:t>.</w:t>
      </w:r>
    </w:p>
    <w:p w14:paraId="40789E6B" w14:textId="6E93F82C"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 xml:space="preserve">L'apposizione dell'asseverazione da parte del professionista abilitato ha assolto il vincolo generale prescritto dall'art. 10 del D.L. </w:t>
      </w:r>
      <w:r w:rsidR="008A55CE">
        <w:rPr>
          <w:rFonts w:ascii="Arial" w:eastAsia="Arial" w:hAnsi="Arial" w:cs="Arial"/>
          <w:color w:val="000000"/>
          <w:sz w:val="20"/>
          <w:szCs w:val="20"/>
        </w:rPr>
        <w:t xml:space="preserve">n. </w:t>
      </w:r>
      <w:r w:rsidRPr="008A55CE">
        <w:rPr>
          <w:rFonts w:ascii="Arial" w:eastAsia="Arial" w:hAnsi="Arial" w:cs="Arial"/>
          <w:color w:val="000000"/>
          <w:sz w:val="20"/>
          <w:szCs w:val="20"/>
        </w:rPr>
        <w:t>78/2009 per compensazioni superiori a 5.000 euro. La successiva formalizzazione dell'adesione al CPB con il Modello R</w:t>
      </w:r>
      <w:r w:rsidR="008A55CE">
        <w:rPr>
          <w:rFonts w:ascii="Arial" w:eastAsia="Arial" w:hAnsi="Arial" w:cs="Arial"/>
          <w:color w:val="000000"/>
          <w:sz w:val="20"/>
          <w:szCs w:val="20"/>
        </w:rPr>
        <w:t>edditi</w:t>
      </w:r>
      <w:r w:rsidRPr="008A55CE">
        <w:rPr>
          <w:rFonts w:ascii="Arial" w:eastAsia="Arial" w:hAnsi="Arial" w:cs="Arial"/>
          <w:color w:val="000000"/>
          <w:sz w:val="20"/>
          <w:szCs w:val="20"/>
        </w:rPr>
        <w:t xml:space="preserve"> non produce alcun effetto caducatorio o sostitutivo:</w:t>
      </w:r>
    </w:p>
    <w:p w14:paraId="6E62494F" w14:textId="1029F665" w:rsidR="00A43B9E" w:rsidRPr="008A55CE" w:rsidRDefault="008A55CE" w:rsidP="00465C43">
      <w:pPr>
        <w:pStyle w:val="Paragrafoelenco"/>
        <w:numPr>
          <w:ilvl w:val="0"/>
          <w:numId w:val="8"/>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color w:val="000000"/>
          <w:sz w:val="20"/>
          <w:szCs w:val="20"/>
        </w:rPr>
        <w:t>g</w:t>
      </w:r>
      <w:r w:rsidR="00A43B9E" w:rsidRPr="008A55CE">
        <w:rPr>
          <w:rFonts w:ascii="Arial" w:eastAsia="Arial" w:hAnsi="Arial" w:cs="Arial"/>
          <w:color w:val="000000"/>
          <w:sz w:val="20"/>
          <w:szCs w:val="20"/>
        </w:rPr>
        <w:t>li adempimenti pregressi restano consolidati</w:t>
      </w:r>
      <w:r>
        <w:rPr>
          <w:rFonts w:ascii="Arial" w:eastAsia="Arial" w:hAnsi="Arial" w:cs="Arial"/>
          <w:color w:val="000000"/>
          <w:sz w:val="20"/>
          <w:szCs w:val="20"/>
        </w:rPr>
        <w:t>;</w:t>
      </w:r>
    </w:p>
    <w:p w14:paraId="4BA33EC1" w14:textId="573AD6C8" w:rsidR="00A43B9E" w:rsidRPr="008A55CE" w:rsidRDefault="008A55CE" w:rsidP="00465C43">
      <w:pPr>
        <w:pStyle w:val="Paragrafoelenco"/>
        <w:numPr>
          <w:ilvl w:val="0"/>
          <w:numId w:val="8"/>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color w:val="000000"/>
          <w:sz w:val="20"/>
          <w:szCs w:val="20"/>
        </w:rPr>
        <w:t>l</w:t>
      </w:r>
      <w:r w:rsidR="00A43B9E" w:rsidRPr="008A55CE">
        <w:rPr>
          <w:rFonts w:ascii="Arial" w:eastAsia="Arial" w:hAnsi="Arial" w:cs="Arial"/>
          <w:color w:val="000000"/>
          <w:sz w:val="20"/>
          <w:szCs w:val="20"/>
        </w:rPr>
        <w:t>e spese professionali sostenute per l'asseverazione dei primi trimestri non sono ripetibili né rettificabili</w:t>
      </w:r>
      <w:r>
        <w:rPr>
          <w:rFonts w:ascii="Arial" w:eastAsia="Arial" w:hAnsi="Arial" w:cs="Arial"/>
          <w:color w:val="000000"/>
          <w:sz w:val="20"/>
          <w:szCs w:val="20"/>
        </w:rPr>
        <w:t>;</w:t>
      </w:r>
    </w:p>
    <w:p w14:paraId="1ABA6A42" w14:textId="785BCB78" w:rsidR="00A43B9E" w:rsidRPr="008A55CE" w:rsidRDefault="008A55CE" w:rsidP="00465C43">
      <w:pPr>
        <w:pStyle w:val="Paragrafoelenco"/>
        <w:numPr>
          <w:ilvl w:val="0"/>
          <w:numId w:val="8"/>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b/>
          <w:bCs/>
          <w:color w:val="000000"/>
          <w:sz w:val="20"/>
          <w:szCs w:val="20"/>
        </w:rPr>
        <w:t>n</w:t>
      </w:r>
      <w:r w:rsidR="00A43B9E" w:rsidRPr="008A55CE">
        <w:rPr>
          <w:rFonts w:ascii="Arial" w:eastAsia="Arial" w:hAnsi="Arial" w:cs="Arial"/>
          <w:b/>
          <w:bCs/>
          <w:color w:val="000000"/>
          <w:sz w:val="20"/>
          <w:szCs w:val="20"/>
        </w:rPr>
        <w:t>essuna erosione del plafond</w:t>
      </w:r>
      <w:r w:rsidR="00A43B9E" w:rsidRPr="008A55CE">
        <w:rPr>
          <w:rFonts w:ascii="Arial" w:eastAsia="Arial" w:hAnsi="Arial" w:cs="Arial"/>
          <w:color w:val="000000"/>
          <w:sz w:val="20"/>
          <w:szCs w:val="20"/>
        </w:rPr>
        <w:t>:</w:t>
      </w:r>
      <w:r w:rsidRPr="008A55CE">
        <w:rPr>
          <w:rFonts w:ascii="Arial" w:eastAsia="Arial" w:hAnsi="Arial" w:cs="Arial"/>
          <w:color w:val="000000"/>
          <w:sz w:val="20"/>
          <w:szCs w:val="20"/>
        </w:rPr>
        <w:t xml:space="preserve"> </w:t>
      </w:r>
      <w:r w:rsidR="00A43B9E" w:rsidRPr="008A55CE">
        <w:rPr>
          <w:rFonts w:ascii="Arial" w:eastAsia="Arial" w:hAnsi="Arial" w:cs="Arial"/>
          <w:color w:val="000000"/>
          <w:sz w:val="20"/>
          <w:szCs w:val="20"/>
        </w:rPr>
        <w:t>i crediti compensati con visto di conformità non intaccano la franchigia di esonero spettante. I controlli telematici dell'Agenzia delle Entrate sul flusso dei modelli F24 conteggiano esclusivamente gli utilizzi eseguiti in esonero (senza</w:t>
      </w:r>
      <w:r w:rsidRPr="008A55CE">
        <w:rPr>
          <w:rFonts w:ascii="Arial" w:eastAsia="Arial" w:hAnsi="Arial" w:cs="Arial"/>
          <w:color w:val="000000"/>
          <w:sz w:val="20"/>
          <w:szCs w:val="20"/>
        </w:rPr>
        <w:t xml:space="preserve"> </w:t>
      </w:r>
      <w:r w:rsidR="00A43B9E" w:rsidRPr="008A55CE">
        <w:rPr>
          <w:rFonts w:ascii="Arial" w:eastAsia="Arial" w:hAnsi="Arial" w:cs="Arial"/>
          <w:color w:val="000000"/>
          <w:sz w:val="20"/>
          <w:szCs w:val="20"/>
        </w:rPr>
        <w:t>visto).</w:t>
      </w:r>
    </w:p>
    <w:p w14:paraId="7693A874"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Chars="0" w:left="0" w:firstLineChars="0" w:firstLine="0"/>
        <w:jc w:val="both"/>
        <w:rPr>
          <w:rFonts w:ascii="Arial" w:eastAsia="Arial" w:hAnsi="Arial" w:cs="Arial"/>
          <w:color w:val="000000"/>
          <w:sz w:val="20"/>
          <w:szCs w:val="20"/>
        </w:rPr>
      </w:pPr>
    </w:p>
    <w:p w14:paraId="574B58C7"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b/>
          <w:bCs/>
          <w:color w:val="000000"/>
          <w:sz w:val="20"/>
          <w:szCs w:val="20"/>
        </w:rPr>
        <w:t>La sfasatura temporale per i crediti infrannuali (Modello TR)</w:t>
      </w:r>
    </w:p>
    <w:p w14:paraId="0C1DAF6D" w14:textId="408D3CFC" w:rsidR="005477A7" w:rsidRPr="005477A7" w:rsidRDefault="005477A7" w:rsidP="005477A7">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5477A7">
        <w:rPr>
          <w:rFonts w:ascii="Arial" w:eastAsia="Arial" w:hAnsi="Arial" w:cs="Arial"/>
          <w:color w:val="000000"/>
          <w:sz w:val="20"/>
          <w:szCs w:val="20"/>
        </w:rPr>
        <w:t>L'effetto premiale del concordato sui crediti IVA, ai sensi dell'art. 9-bis, comma 11, lett. b), del D.L. n. 50/2017, richiamato dall'art. 19 del D.Lgs. n. 13/2024,</w:t>
      </w:r>
      <w:r>
        <w:rPr>
          <w:rFonts w:ascii="Arial" w:eastAsia="Arial" w:hAnsi="Arial" w:cs="Arial"/>
          <w:color w:val="000000"/>
          <w:sz w:val="20"/>
          <w:szCs w:val="20"/>
        </w:rPr>
        <w:t xml:space="preserve"> </w:t>
      </w:r>
      <w:r w:rsidRPr="005477A7">
        <w:rPr>
          <w:rFonts w:ascii="Arial" w:eastAsia="Arial" w:hAnsi="Arial" w:cs="Arial"/>
          <w:color w:val="000000"/>
          <w:sz w:val="20"/>
          <w:szCs w:val="20"/>
        </w:rPr>
        <w:t>non segue la medesima tempistica tra eccedenze annuali ed eccedenze infrannuali.</w:t>
      </w:r>
    </w:p>
    <w:p w14:paraId="69DFAC55" w14:textId="046EDEA0" w:rsidR="005477A7" w:rsidRPr="005477A7" w:rsidRDefault="005477A7" w:rsidP="005477A7">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5477A7">
        <w:rPr>
          <w:rFonts w:ascii="Arial" w:eastAsia="Arial" w:hAnsi="Arial" w:cs="Arial"/>
          <w:color w:val="000000"/>
          <w:sz w:val="20"/>
          <w:szCs w:val="20"/>
        </w:rPr>
        <w:t>Infatti, come chiarito da una</w:t>
      </w:r>
      <w:r>
        <w:rPr>
          <w:rFonts w:ascii="Arial" w:eastAsia="Arial" w:hAnsi="Arial" w:cs="Arial"/>
          <w:color w:val="000000"/>
          <w:sz w:val="20"/>
          <w:szCs w:val="20"/>
        </w:rPr>
        <w:t xml:space="preserve"> </w:t>
      </w:r>
      <w:r w:rsidRPr="005477A7">
        <w:rPr>
          <w:rFonts w:ascii="Arial" w:eastAsia="Arial" w:hAnsi="Arial" w:cs="Arial"/>
          <w:color w:val="000000"/>
          <w:sz w:val="20"/>
          <w:szCs w:val="20"/>
        </w:rPr>
        <w:t xml:space="preserve">FAQ dell’Agenzia </w:t>
      </w:r>
      <w:r>
        <w:rPr>
          <w:rFonts w:ascii="Arial" w:eastAsia="Arial" w:hAnsi="Arial" w:cs="Arial"/>
          <w:color w:val="000000"/>
          <w:sz w:val="20"/>
          <w:szCs w:val="20"/>
        </w:rPr>
        <w:t xml:space="preserve">delle </w:t>
      </w:r>
      <w:r w:rsidRPr="005477A7">
        <w:rPr>
          <w:rFonts w:ascii="Arial" w:eastAsia="Arial" w:hAnsi="Arial" w:cs="Arial"/>
          <w:color w:val="000000"/>
          <w:sz w:val="20"/>
          <w:szCs w:val="20"/>
        </w:rPr>
        <w:t>Entrate,</w:t>
      </w:r>
      <w:r>
        <w:rPr>
          <w:rFonts w:ascii="Arial" w:eastAsia="Arial" w:hAnsi="Arial" w:cs="Arial"/>
          <w:color w:val="000000"/>
          <w:sz w:val="20"/>
          <w:szCs w:val="20"/>
        </w:rPr>
        <w:t xml:space="preserve"> </w:t>
      </w:r>
      <w:r w:rsidRPr="005477A7">
        <w:rPr>
          <w:rFonts w:ascii="Arial" w:eastAsia="Arial" w:hAnsi="Arial" w:cs="Arial"/>
          <w:color w:val="000000"/>
          <w:sz w:val="20"/>
          <w:szCs w:val="20"/>
        </w:rPr>
        <w:t>l'esonero dal visto per i modelli IVA TR riguarda i “</w:t>
      </w:r>
      <w:r>
        <w:rPr>
          <w:rFonts w:ascii="Arial" w:eastAsia="Arial" w:hAnsi="Arial" w:cs="Arial"/>
          <w:i/>
          <w:iCs/>
          <w:color w:val="000000"/>
          <w:sz w:val="20"/>
          <w:szCs w:val="20"/>
        </w:rPr>
        <w:t>c</w:t>
      </w:r>
      <w:r w:rsidRPr="005477A7">
        <w:rPr>
          <w:rFonts w:ascii="Arial" w:eastAsia="Arial" w:hAnsi="Arial" w:cs="Arial"/>
          <w:i/>
          <w:iCs/>
          <w:color w:val="000000"/>
          <w:sz w:val="20"/>
          <w:szCs w:val="20"/>
        </w:rPr>
        <w:t>rediti maturati nel biennio successivo all’anno di adesione (ad esempio, se il contribuente ha aderito nel 2024 al CPB 2024-2025, egli potrà usufruire del beneficio per il biennio 2025-2026)</w:t>
      </w:r>
      <w:r w:rsidRPr="005477A7">
        <w:rPr>
          <w:rFonts w:ascii="Arial" w:eastAsia="Arial" w:hAnsi="Arial" w:cs="Arial"/>
          <w:color w:val="000000"/>
          <w:sz w:val="20"/>
          <w:szCs w:val="20"/>
        </w:rPr>
        <w:t>”</w:t>
      </w:r>
      <w:r>
        <w:rPr>
          <w:rFonts w:ascii="Arial" w:eastAsia="Arial" w:hAnsi="Arial" w:cs="Arial"/>
          <w:color w:val="000000"/>
          <w:sz w:val="20"/>
          <w:szCs w:val="20"/>
        </w:rPr>
        <w:t>.</w:t>
      </w:r>
    </w:p>
    <w:p w14:paraId="75B40341"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L'Agenzia delle Entrate ha confermato questo schema temporale di traslazione biennale:</w:t>
      </w:r>
    </w:p>
    <w:p w14:paraId="15EDC13A" w14:textId="281DC282" w:rsidR="00A43B9E" w:rsidRPr="00BA6C02" w:rsidRDefault="00BA6C02" w:rsidP="00465C43">
      <w:pPr>
        <w:pStyle w:val="Paragrafoelenco"/>
        <w:numPr>
          <w:ilvl w:val="0"/>
          <w:numId w:val="9"/>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color w:val="000000"/>
          <w:sz w:val="20"/>
          <w:szCs w:val="20"/>
        </w:rPr>
        <w:t>l</w:t>
      </w:r>
      <w:r w:rsidR="00A43B9E" w:rsidRPr="00BA6C02">
        <w:rPr>
          <w:rFonts w:ascii="Arial" w:eastAsia="Arial" w:hAnsi="Arial" w:cs="Arial"/>
          <w:color w:val="000000"/>
          <w:sz w:val="20"/>
          <w:szCs w:val="20"/>
        </w:rPr>
        <w:t>'adesione al CPB perfezionata nel 2026 attribuisce l'esonero dal visto per i crediti IVA infrannuali</w:t>
      </w:r>
      <w:r>
        <w:rPr>
          <w:rFonts w:ascii="Arial" w:eastAsia="Arial" w:hAnsi="Arial" w:cs="Arial"/>
          <w:color w:val="000000"/>
          <w:sz w:val="20"/>
          <w:szCs w:val="20"/>
        </w:rPr>
        <w:t xml:space="preserve"> </w:t>
      </w:r>
      <w:r w:rsidR="00A43B9E" w:rsidRPr="00BA6C02">
        <w:rPr>
          <w:rFonts w:ascii="Arial" w:eastAsia="Arial" w:hAnsi="Arial" w:cs="Arial"/>
          <w:b/>
          <w:bCs/>
          <w:color w:val="000000"/>
          <w:sz w:val="20"/>
          <w:szCs w:val="20"/>
        </w:rPr>
        <w:t>esclusivamente per i trimestri che matureranno nel biennio successivo, ossia nel 2027 e nel 2028</w:t>
      </w:r>
      <w:r>
        <w:rPr>
          <w:rFonts w:ascii="Arial" w:eastAsia="Arial" w:hAnsi="Arial" w:cs="Arial"/>
          <w:color w:val="000000"/>
          <w:sz w:val="20"/>
          <w:szCs w:val="20"/>
        </w:rPr>
        <w:t>;</w:t>
      </w:r>
    </w:p>
    <w:p w14:paraId="5D1A7974" w14:textId="21460A12" w:rsidR="00A43B9E" w:rsidRPr="00BA6C02" w:rsidRDefault="00BA6C02" w:rsidP="00465C43">
      <w:pPr>
        <w:pStyle w:val="Paragrafoelenco"/>
        <w:numPr>
          <w:ilvl w:val="0"/>
          <w:numId w:val="9"/>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b/>
          <w:bCs/>
          <w:color w:val="000000"/>
          <w:sz w:val="20"/>
          <w:szCs w:val="20"/>
        </w:rPr>
        <w:t>i</w:t>
      </w:r>
      <w:r w:rsidR="00A43B9E" w:rsidRPr="00BA6C02">
        <w:rPr>
          <w:rFonts w:ascii="Arial" w:eastAsia="Arial" w:hAnsi="Arial" w:cs="Arial"/>
          <w:b/>
          <w:bCs/>
          <w:color w:val="000000"/>
          <w:sz w:val="20"/>
          <w:szCs w:val="20"/>
        </w:rPr>
        <w:t>l modello IVA TR del terzo trimestre 2026 non beneficia dell'esonero CPB 2026-2027</w:t>
      </w:r>
      <w:r w:rsidR="00A43B9E" w:rsidRPr="00BA6C02">
        <w:rPr>
          <w:rFonts w:ascii="Arial" w:eastAsia="Arial" w:hAnsi="Arial" w:cs="Arial"/>
          <w:color w:val="000000"/>
          <w:sz w:val="20"/>
          <w:szCs w:val="20"/>
        </w:rPr>
        <w:t>.</w:t>
      </w:r>
      <w:r>
        <w:rPr>
          <w:rFonts w:ascii="Arial" w:eastAsia="Arial" w:hAnsi="Arial" w:cs="Arial"/>
          <w:color w:val="000000"/>
          <w:sz w:val="20"/>
          <w:szCs w:val="20"/>
        </w:rPr>
        <w:t xml:space="preserve"> </w:t>
      </w:r>
      <w:r w:rsidR="00A43B9E" w:rsidRPr="00BA6C02">
        <w:rPr>
          <w:rFonts w:ascii="Arial" w:eastAsia="Arial" w:hAnsi="Arial" w:cs="Arial"/>
          <w:color w:val="000000"/>
          <w:sz w:val="20"/>
          <w:szCs w:val="20"/>
        </w:rPr>
        <w:t>Tale credito matura infatti nello stesso anno di esercizio dell'opzione e resta assoggettato all'obbligo ordinario di apposizione del visto di conformità per compensazioni eccedenti i 5.000 euro.</w:t>
      </w:r>
    </w:p>
    <w:p w14:paraId="5BB2377F" w14:textId="1B2DD2B9"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 xml:space="preserve">Le uniche eccezioni che consentono di compensare il </w:t>
      </w:r>
      <w:r w:rsidR="00BA6C02">
        <w:rPr>
          <w:rFonts w:ascii="Arial" w:eastAsia="Arial" w:hAnsi="Arial" w:cs="Arial"/>
          <w:color w:val="000000"/>
          <w:sz w:val="20"/>
          <w:szCs w:val="20"/>
        </w:rPr>
        <w:t>terzo</w:t>
      </w:r>
      <w:r w:rsidRPr="008A55CE">
        <w:rPr>
          <w:rFonts w:ascii="Arial" w:eastAsia="Arial" w:hAnsi="Arial" w:cs="Arial"/>
          <w:color w:val="000000"/>
          <w:sz w:val="20"/>
          <w:szCs w:val="20"/>
        </w:rPr>
        <w:t xml:space="preserve"> trimestre 2026 senza visto oltre 5.000 euro sono:</w:t>
      </w:r>
    </w:p>
    <w:p w14:paraId="5F07F39A" w14:textId="5084171F" w:rsidR="00A43B9E" w:rsidRPr="00BA6C02" w:rsidRDefault="00BA6C02" w:rsidP="00465C43">
      <w:pPr>
        <w:pStyle w:val="Paragrafoelenco"/>
        <w:numPr>
          <w:ilvl w:val="0"/>
          <w:numId w:val="10"/>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b/>
          <w:bCs/>
          <w:color w:val="000000"/>
          <w:sz w:val="20"/>
          <w:szCs w:val="20"/>
        </w:rPr>
        <w:lastRenderedPageBreak/>
        <w:t>p</w:t>
      </w:r>
      <w:r w:rsidR="00A43B9E" w:rsidRPr="00BA6C02">
        <w:rPr>
          <w:rFonts w:ascii="Arial" w:eastAsia="Arial" w:hAnsi="Arial" w:cs="Arial"/>
          <w:b/>
          <w:bCs/>
          <w:color w:val="000000"/>
          <w:sz w:val="20"/>
          <w:szCs w:val="20"/>
        </w:rPr>
        <w:t>unteggio ISA autonomo sul periodo d'imposta 2025</w:t>
      </w:r>
      <w:r w:rsidR="00A43B9E" w:rsidRPr="00BA6C02">
        <w:rPr>
          <w:rFonts w:ascii="Arial" w:eastAsia="Arial" w:hAnsi="Arial" w:cs="Arial"/>
          <w:color w:val="000000"/>
          <w:sz w:val="20"/>
          <w:szCs w:val="20"/>
        </w:rPr>
        <w:t>:</w:t>
      </w:r>
      <w:r>
        <w:rPr>
          <w:rFonts w:ascii="Arial" w:eastAsia="Arial" w:hAnsi="Arial" w:cs="Arial"/>
          <w:color w:val="000000"/>
          <w:sz w:val="20"/>
          <w:szCs w:val="20"/>
        </w:rPr>
        <w:t xml:space="preserve"> c</w:t>
      </w:r>
      <w:r w:rsidR="00A43B9E" w:rsidRPr="00BA6C02">
        <w:rPr>
          <w:rFonts w:ascii="Arial" w:eastAsia="Arial" w:hAnsi="Arial" w:cs="Arial"/>
          <w:color w:val="000000"/>
          <w:sz w:val="20"/>
          <w:szCs w:val="20"/>
        </w:rPr>
        <w:t>onseguimento di un voto di affidabilità fiscale almeno pari a 8 (o media 8,5 per il biennio 2024-2025), che garantisce l'esonero ordinario per i crediti infrannuali dell'anno successivo (2026)</w:t>
      </w:r>
      <w:r>
        <w:rPr>
          <w:rFonts w:ascii="Arial" w:eastAsia="Arial" w:hAnsi="Arial" w:cs="Arial"/>
          <w:color w:val="000000"/>
          <w:sz w:val="20"/>
          <w:szCs w:val="20"/>
        </w:rPr>
        <w:t>;</w:t>
      </w:r>
    </w:p>
    <w:p w14:paraId="4F194D6F" w14:textId="00D38708" w:rsidR="00A43B9E" w:rsidRPr="00BA6C02" w:rsidRDefault="00BA6C02" w:rsidP="00465C43">
      <w:pPr>
        <w:pStyle w:val="Paragrafoelenco"/>
        <w:numPr>
          <w:ilvl w:val="0"/>
          <w:numId w:val="10"/>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b/>
          <w:bCs/>
          <w:color w:val="000000"/>
          <w:sz w:val="20"/>
          <w:szCs w:val="20"/>
        </w:rPr>
        <w:t>r</w:t>
      </w:r>
      <w:r w:rsidR="00A43B9E" w:rsidRPr="00BA6C02">
        <w:rPr>
          <w:rFonts w:ascii="Arial" w:eastAsia="Arial" w:hAnsi="Arial" w:cs="Arial"/>
          <w:b/>
          <w:bCs/>
          <w:color w:val="000000"/>
          <w:sz w:val="20"/>
          <w:szCs w:val="20"/>
        </w:rPr>
        <w:t>innovo del CPB (prosecuzione dal biennio 2024-2025)</w:t>
      </w:r>
      <w:r w:rsidR="00A43B9E" w:rsidRPr="00BA6C02">
        <w:rPr>
          <w:rFonts w:ascii="Arial" w:eastAsia="Arial" w:hAnsi="Arial" w:cs="Arial"/>
          <w:color w:val="000000"/>
          <w:sz w:val="20"/>
          <w:szCs w:val="20"/>
        </w:rPr>
        <w:t>:</w:t>
      </w:r>
      <w:r w:rsidRPr="00BA6C02">
        <w:rPr>
          <w:rFonts w:ascii="Arial" w:eastAsia="Arial" w:hAnsi="Arial" w:cs="Arial"/>
          <w:color w:val="000000"/>
          <w:sz w:val="20"/>
          <w:szCs w:val="20"/>
        </w:rPr>
        <w:t xml:space="preserve"> </w:t>
      </w:r>
      <w:r>
        <w:rPr>
          <w:rFonts w:ascii="Arial" w:eastAsia="Arial" w:hAnsi="Arial" w:cs="Arial"/>
          <w:color w:val="000000"/>
          <w:sz w:val="20"/>
          <w:szCs w:val="20"/>
        </w:rPr>
        <w:t xml:space="preserve">i </w:t>
      </w:r>
      <w:r w:rsidR="00A43B9E" w:rsidRPr="00BA6C02">
        <w:rPr>
          <w:rFonts w:ascii="Arial" w:eastAsia="Arial" w:hAnsi="Arial" w:cs="Arial"/>
          <w:color w:val="000000"/>
          <w:sz w:val="20"/>
          <w:szCs w:val="20"/>
        </w:rPr>
        <w:t>soggetti che avevano già aderito al concordato 2024-2025 beneficiano nel 2026 della seconda annualità di copertura infrannuale originata dal precedente biennio.</w:t>
      </w:r>
    </w:p>
    <w:p w14:paraId="6BB7EE5F"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Chars="0" w:left="0" w:firstLineChars="0" w:firstLine="0"/>
        <w:jc w:val="both"/>
        <w:rPr>
          <w:rFonts w:ascii="Arial" w:eastAsia="Arial" w:hAnsi="Arial" w:cs="Arial"/>
          <w:color w:val="000000"/>
          <w:sz w:val="20"/>
          <w:szCs w:val="20"/>
        </w:rPr>
      </w:pPr>
    </w:p>
    <w:p w14:paraId="18BC8A25"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b/>
          <w:bCs/>
          <w:color w:val="000000"/>
          <w:sz w:val="20"/>
          <w:szCs w:val="20"/>
        </w:rPr>
        <w:t>Decorrenza immediata sulla dichiarazione annuale IVA e nuove soglie</w:t>
      </w:r>
    </w:p>
    <w:p w14:paraId="140C79B9" w14:textId="779496B0"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A differenza delle istanze trimestrali, l'esonero dal visto di conformità per la</w:t>
      </w:r>
      <w:r w:rsidR="00BA6C02">
        <w:rPr>
          <w:rFonts w:ascii="Arial" w:eastAsia="Arial" w:hAnsi="Arial" w:cs="Arial"/>
          <w:color w:val="000000"/>
          <w:sz w:val="20"/>
          <w:szCs w:val="20"/>
        </w:rPr>
        <w:t xml:space="preserve"> </w:t>
      </w:r>
      <w:r w:rsidRPr="008A55CE">
        <w:rPr>
          <w:rFonts w:ascii="Arial" w:eastAsia="Arial" w:hAnsi="Arial" w:cs="Arial"/>
          <w:b/>
          <w:bCs/>
          <w:color w:val="000000"/>
          <w:sz w:val="20"/>
          <w:szCs w:val="20"/>
        </w:rPr>
        <w:t>dichiarazione annuale IVA</w:t>
      </w:r>
      <w:r w:rsidR="00BA6C02">
        <w:rPr>
          <w:rFonts w:ascii="Arial" w:eastAsia="Arial" w:hAnsi="Arial" w:cs="Arial"/>
          <w:color w:val="000000"/>
          <w:sz w:val="20"/>
          <w:szCs w:val="20"/>
        </w:rPr>
        <w:t xml:space="preserve"> </w:t>
      </w:r>
      <w:r w:rsidRPr="008A55CE">
        <w:rPr>
          <w:rFonts w:ascii="Arial" w:eastAsia="Arial" w:hAnsi="Arial" w:cs="Arial"/>
          <w:color w:val="000000"/>
          <w:sz w:val="20"/>
          <w:szCs w:val="20"/>
        </w:rPr>
        <w:t>esplica i suoi effetti fin dal primo anno di vigenza del concordato, poiché il Modello IVA e il Modello R</w:t>
      </w:r>
      <w:r w:rsidR="00BA6C02">
        <w:rPr>
          <w:rFonts w:ascii="Arial" w:eastAsia="Arial" w:hAnsi="Arial" w:cs="Arial"/>
          <w:color w:val="000000"/>
          <w:sz w:val="20"/>
          <w:szCs w:val="20"/>
        </w:rPr>
        <w:t>edditi</w:t>
      </w:r>
      <w:r w:rsidRPr="008A55CE">
        <w:rPr>
          <w:rFonts w:ascii="Arial" w:eastAsia="Arial" w:hAnsi="Arial" w:cs="Arial"/>
          <w:color w:val="000000"/>
          <w:sz w:val="20"/>
          <w:szCs w:val="20"/>
        </w:rPr>
        <w:t xml:space="preserve"> insistono sul medesimo periodo d'imposta (2026).</w:t>
      </w:r>
    </w:p>
    <w:p w14:paraId="3DA65E3D"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La franchigia spendibile sul saldo della dichiarazione IVA 2027 (anno d'imposta 2026) varia in funzione dello status del contribuente:</w:t>
      </w:r>
    </w:p>
    <w:p w14:paraId="327A0E32" w14:textId="1FC15F35" w:rsidR="00A43B9E" w:rsidRPr="00BA6C02" w:rsidRDefault="00BA6C02" w:rsidP="00465C43">
      <w:pPr>
        <w:pStyle w:val="Paragrafoelenco"/>
        <w:numPr>
          <w:ilvl w:val="0"/>
          <w:numId w:val="11"/>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b/>
          <w:bCs/>
          <w:color w:val="000000"/>
          <w:sz w:val="20"/>
          <w:szCs w:val="20"/>
        </w:rPr>
        <w:t>p</w:t>
      </w:r>
      <w:r w:rsidR="00A43B9E" w:rsidRPr="00BA6C02">
        <w:rPr>
          <w:rFonts w:ascii="Arial" w:eastAsia="Arial" w:hAnsi="Arial" w:cs="Arial"/>
          <w:b/>
          <w:bCs/>
          <w:color w:val="000000"/>
          <w:sz w:val="20"/>
          <w:szCs w:val="20"/>
        </w:rPr>
        <w:t>rima adesione CPB 2026-2027</w:t>
      </w:r>
      <w:r w:rsidR="00A43B9E" w:rsidRPr="00BA6C02">
        <w:rPr>
          <w:rFonts w:ascii="Arial" w:eastAsia="Arial" w:hAnsi="Arial" w:cs="Arial"/>
          <w:color w:val="000000"/>
          <w:sz w:val="20"/>
          <w:szCs w:val="20"/>
        </w:rPr>
        <w:t>:</w:t>
      </w:r>
      <w:r>
        <w:rPr>
          <w:rFonts w:ascii="Arial" w:eastAsia="Arial" w:hAnsi="Arial" w:cs="Arial"/>
          <w:color w:val="000000"/>
          <w:sz w:val="20"/>
          <w:szCs w:val="20"/>
        </w:rPr>
        <w:t xml:space="preserve"> </w:t>
      </w:r>
      <w:r w:rsidR="00A43B9E" w:rsidRPr="00BA6C02">
        <w:rPr>
          <w:rFonts w:ascii="Arial" w:eastAsia="Arial" w:hAnsi="Arial" w:cs="Arial"/>
          <w:color w:val="000000"/>
          <w:sz w:val="20"/>
          <w:szCs w:val="20"/>
        </w:rPr>
        <w:t>esonero dall'apposizione del visto di conformità per compensazioni orizzontali fino a</w:t>
      </w:r>
      <w:r>
        <w:rPr>
          <w:rFonts w:ascii="Arial" w:eastAsia="Arial" w:hAnsi="Arial" w:cs="Arial"/>
          <w:color w:val="000000"/>
          <w:sz w:val="20"/>
          <w:szCs w:val="20"/>
        </w:rPr>
        <w:t xml:space="preserve"> </w:t>
      </w:r>
      <w:r w:rsidR="00A43B9E" w:rsidRPr="00BA6C02">
        <w:rPr>
          <w:rFonts w:ascii="Arial" w:eastAsia="Arial" w:hAnsi="Arial" w:cs="Arial"/>
          <w:b/>
          <w:bCs/>
          <w:color w:val="000000"/>
          <w:sz w:val="20"/>
          <w:szCs w:val="20"/>
        </w:rPr>
        <w:t>70.000 euro annui</w:t>
      </w:r>
      <w:r>
        <w:rPr>
          <w:rFonts w:ascii="Arial" w:eastAsia="Arial" w:hAnsi="Arial" w:cs="Arial"/>
          <w:color w:val="000000"/>
          <w:sz w:val="20"/>
          <w:szCs w:val="20"/>
        </w:rPr>
        <w:t>;</w:t>
      </w:r>
    </w:p>
    <w:p w14:paraId="0F7F6B4F" w14:textId="31B68212" w:rsidR="00A43B9E" w:rsidRPr="00BA6C02" w:rsidRDefault="00BA6C02" w:rsidP="00465C43">
      <w:pPr>
        <w:pStyle w:val="Paragrafoelenco"/>
        <w:numPr>
          <w:ilvl w:val="0"/>
          <w:numId w:val="11"/>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b/>
          <w:bCs/>
          <w:color w:val="000000"/>
          <w:sz w:val="20"/>
          <w:szCs w:val="20"/>
        </w:rPr>
        <w:t>r</w:t>
      </w:r>
      <w:r w:rsidR="00A43B9E" w:rsidRPr="00BA6C02">
        <w:rPr>
          <w:rFonts w:ascii="Arial" w:eastAsia="Arial" w:hAnsi="Arial" w:cs="Arial"/>
          <w:b/>
          <w:bCs/>
          <w:color w:val="000000"/>
          <w:sz w:val="20"/>
          <w:szCs w:val="20"/>
        </w:rPr>
        <w:t>innovo del concordato</w:t>
      </w:r>
      <w:r w:rsidR="00A43B9E" w:rsidRPr="00BA6C02">
        <w:rPr>
          <w:rFonts w:ascii="Arial" w:eastAsia="Arial" w:hAnsi="Arial" w:cs="Arial"/>
          <w:color w:val="000000"/>
          <w:sz w:val="20"/>
          <w:szCs w:val="20"/>
        </w:rPr>
        <w:t>:</w:t>
      </w:r>
      <w:r>
        <w:rPr>
          <w:rFonts w:ascii="Arial" w:eastAsia="Arial" w:hAnsi="Arial" w:cs="Arial"/>
          <w:color w:val="000000"/>
          <w:sz w:val="20"/>
          <w:szCs w:val="20"/>
        </w:rPr>
        <w:t xml:space="preserve"> </w:t>
      </w:r>
      <w:r w:rsidR="00A43B9E" w:rsidRPr="00BA6C02">
        <w:rPr>
          <w:rFonts w:ascii="Arial" w:eastAsia="Arial" w:hAnsi="Arial" w:cs="Arial"/>
          <w:color w:val="000000"/>
          <w:sz w:val="20"/>
          <w:szCs w:val="20"/>
        </w:rPr>
        <w:t>per i contribuenti che rinnovano il patto per il 2026-2027 dopo aver concluso il biennio 2024-2025 senza cause di revoca o decadenza, la soglia di esonero è elevata a</w:t>
      </w:r>
      <w:r>
        <w:rPr>
          <w:rFonts w:ascii="Arial" w:eastAsia="Arial" w:hAnsi="Arial" w:cs="Arial"/>
          <w:color w:val="000000"/>
          <w:sz w:val="20"/>
          <w:szCs w:val="20"/>
        </w:rPr>
        <w:t xml:space="preserve"> </w:t>
      </w:r>
      <w:r w:rsidR="00A43B9E" w:rsidRPr="00BA6C02">
        <w:rPr>
          <w:rFonts w:ascii="Arial" w:eastAsia="Arial" w:hAnsi="Arial" w:cs="Arial"/>
          <w:b/>
          <w:bCs/>
          <w:color w:val="000000"/>
          <w:sz w:val="20"/>
          <w:szCs w:val="20"/>
        </w:rPr>
        <w:t>100.000 euro annui</w:t>
      </w:r>
      <w:r w:rsidR="00A43B9E" w:rsidRPr="00BA6C02">
        <w:rPr>
          <w:rFonts w:ascii="Arial" w:eastAsia="Arial" w:hAnsi="Arial" w:cs="Arial"/>
          <w:color w:val="000000"/>
          <w:sz w:val="20"/>
          <w:szCs w:val="20"/>
        </w:rPr>
        <w:t>.</w:t>
      </w:r>
    </w:p>
    <w:p w14:paraId="6E880E7D"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Chars="0" w:left="0" w:firstLineChars="0" w:firstLine="0"/>
        <w:jc w:val="both"/>
        <w:rPr>
          <w:rFonts w:ascii="Arial" w:eastAsia="Arial" w:hAnsi="Arial" w:cs="Arial"/>
          <w:color w:val="000000"/>
          <w:sz w:val="20"/>
          <w:szCs w:val="20"/>
        </w:rPr>
      </w:pPr>
    </w:p>
    <w:p w14:paraId="264472B1"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b/>
          <w:bCs/>
          <w:color w:val="000000"/>
          <w:sz w:val="20"/>
          <w:szCs w:val="20"/>
        </w:rPr>
        <w:t>Prospetto di sintesi per gli adempimenti operativi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65"/>
        <w:gridCol w:w="2495"/>
        <w:gridCol w:w="2195"/>
        <w:gridCol w:w="2773"/>
      </w:tblGrid>
      <w:tr w:rsidR="00A43B9E" w:rsidRPr="008A55CE" w14:paraId="5C4270BA" w14:textId="77777777" w:rsidTr="00A43B9E">
        <w:trPr>
          <w:tblHeader/>
          <w:tblCellSpacing w:w="15" w:type="dxa"/>
        </w:trPr>
        <w:tc>
          <w:tcPr>
            <w:tcW w:w="0" w:type="auto"/>
            <w:vAlign w:val="center"/>
            <w:hideMark/>
          </w:tcPr>
          <w:p w14:paraId="2AF0C499"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b/>
                <w:bCs/>
                <w:color w:val="000000"/>
                <w:sz w:val="20"/>
                <w:szCs w:val="20"/>
              </w:rPr>
              <w:t>Adempimento IVA</w:t>
            </w:r>
          </w:p>
        </w:tc>
        <w:tc>
          <w:tcPr>
            <w:tcW w:w="0" w:type="auto"/>
            <w:vAlign w:val="center"/>
            <w:hideMark/>
          </w:tcPr>
          <w:p w14:paraId="71B2E251" w14:textId="008D914C"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b/>
                <w:bCs/>
                <w:color w:val="000000"/>
                <w:sz w:val="20"/>
                <w:szCs w:val="20"/>
              </w:rPr>
              <w:t xml:space="preserve">Prima </w:t>
            </w:r>
            <w:r w:rsidR="00BA6C02">
              <w:rPr>
                <w:rFonts w:ascii="Arial" w:eastAsia="Arial" w:hAnsi="Arial" w:cs="Arial"/>
                <w:b/>
                <w:bCs/>
                <w:color w:val="000000"/>
                <w:sz w:val="20"/>
                <w:szCs w:val="20"/>
              </w:rPr>
              <w:t>a</w:t>
            </w:r>
            <w:r w:rsidRPr="008A55CE">
              <w:rPr>
                <w:rFonts w:ascii="Arial" w:eastAsia="Arial" w:hAnsi="Arial" w:cs="Arial"/>
                <w:b/>
                <w:bCs/>
                <w:color w:val="000000"/>
                <w:sz w:val="20"/>
                <w:szCs w:val="20"/>
              </w:rPr>
              <w:t>desione CPB 2026-2027</w:t>
            </w:r>
          </w:p>
        </w:tc>
        <w:tc>
          <w:tcPr>
            <w:tcW w:w="0" w:type="auto"/>
            <w:vAlign w:val="center"/>
            <w:hideMark/>
          </w:tcPr>
          <w:p w14:paraId="76A13B3A"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b/>
                <w:bCs/>
                <w:color w:val="000000"/>
                <w:sz w:val="20"/>
                <w:szCs w:val="20"/>
              </w:rPr>
              <w:t>Rinnovo CPB (già aderenti 2024-2025)</w:t>
            </w:r>
          </w:p>
        </w:tc>
        <w:tc>
          <w:tcPr>
            <w:tcW w:w="0" w:type="auto"/>
            <w:vAlign w:val="center"/>
            <w:hideMark/>
          </w:tcPr>
          <w:p w14:paraId="226A1F60" w14:textId="7A12A165"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b/>
                <w:bCs/>
                <w:color w:val="000000"/>
                <w:sz w:val="20"/>
                <w:szCs w:val="20"/>
              </w:rPr>
              <w:t xml:space="preserve">Regime </w:t>
            </w:r>
            <w:r w:rsidR="00631557">
              <w:rPr>
                <w:rFonts w:ascii="Arial" w:eastAsia="Arial" w:hAnsi="Arial" w:cs="Arial"/>
                <w:b/>
                <w:bCs/>
                <w:color w:val="000000"/>
                <w:sz w:val="20"/>
                <w:szCs w:val="20"/>
              </w:rPr>
              <w:t>v</w:t>
            </w:r>
            <w:r w:rsidRPr="008A55CE">
              <w:rPr>
                <w:rFonts w:ascii="Arial" w:eastAsia="Arial" w:hAnsi="Arial" w:cs="Arial"/>
                <w:b/>
                <w:bCs/>
                <w:color w:val="000000"/>
                <w:sz w:val="20"/>
                <w:szCs w:val="20"/>
              </w:rPr>
              <w:t xml:space="preserve">isto di </w:t>
            </w:r>
            <w:r w:rsidR="00631557">
              <w:rPr>
                <w:rFonts w:ascii="Arial" w:eastAsia="Arial" w:hAnsi="Arial" w:cs="Arial"/>
                <w:b/>
                <w:bCs/>
                <w:color w:val="000000"/>
                <w:sz w:val="20"/>
                <w:szCs w:val="20"/>
              </w:rPr>
              <w:t>c</w:t>
            </w:r>
            <w:r w:rsidRPr="008A55CE">
              <w:rPr>
                <w:rFonts w:ascii="Arial" w:eastAsia="Arial" w:hAnsi="Arial" w:cs="Arial"/>
                <w:b/>
                <w:bCs/>
                <w:color w:val="000000"/>
                <w:sz w:val="20"/>
                <w:szCs w:val="20"/>
              </w:rPr>
              <w:t>onformità</w:t>
            </w:r>
          </w:p>
        </w:tc>
      </w:tr>
      <w:tr w:rsidR="00A43B9E" w:rsidRPr="008A55CE" w14:paraId="407ABA07" w14:textId="77777777" w:rsidTr="00A43B9E">
        <w:trPr>
          <w:tblCellSpacing w:w="15" w:type="dxa"/>
        </w:trPr>
        <w:tc>
          <w:tcPr>
            <w:tcW w:w="0" w:type="auto"/>
            <w:vAlign w:val="center"/>
            <w:hideMark/>
          </w:tcPr>
          <w:p w14:paraId="7BEB7B04" w14:textId="230A0EC8"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b/>
                <w:bCs/>
                <w:color w:val="000000"/>
                <w:sz w:val="20"/>
                <w:szCs w:val="20"/>
              </w:rPr>
              <w:t xml:space="preserve">IVA TR 1° e 2° </w:t>
            </w:r>
            <w:r w:rsidR="00631557">
              <w:rPr>
                <w:rFonts w:ascii="Arial" w:eastAsia="Arial" w:hAnsi="Arial" w:cs="Arial"/>
                <w:b/>
                <w:bCs/>
                <w:color w:val="000000"/>
                <w:sz w:val="20"/>
                <w:szCs w:val="20"/>
              </w:rPr>
              <w:t>t</w:t>
            </w:r>
            <w:r w:rsidRPr="008A55CE">
              <w:rPr>
                <w:rFonts w:ascii="Arial" w:eastAsia="Arial" w:hAnsi="Arial" w:cs="Arial"/>
                <w:b/>
                <w:bCs/>
                <w:color w:val="000000"/>
                <w:sz w:val="20"/>
                <w:szCs w:val="20"/>
              </w:rPr>
              <w:t>rimestre 2026</w:t>
            </w:r>
            <w:r w:rsidR="00631557" w:rsidRPr="00631557">
              <w:rPr>
                <w:rFonts w:ascii="Arial" w:eastAsia="Arial" w:hAnsi="Arial" w:cs="Arial"/>
                <w:color w:val="000000"/>
                <w:sz w:val="20"/>
                <w:szCs w:val="20"/>
              </w:rPr>
              <w:t xml:space="preserve"> </w:t>
            </w:r>
            <w:r w:rsidRPr="008A55CE">
              <w:rPr>
                <w:rFonts w:ascii="Arial" w:eastAsia="Arial" w:hAnsi="Arial" w:cs="Arial"/>
                <w:color w:val="000000"/>
                <w:sz w:val="20"/>
                <w:szCs w:val="20"/>
              </w:rPr>
              <w:t>(già inviati)</w:t>
            </w:r>
          </w:p>
        </w:tc>
        <w:tc>
          <w:tcPr>
            <w:tcW w:w="0" w:type="auto"/>
            <w:vAlign w:val="center"/>
            <w:hideMark/>
          </w:tcPr>
          <w:p w14:paraId="13DB346E"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Visto apposto regolarmente</w:t>
            </w:r>
          </w:p>
        </w:tc>
        <w:tc>
          <w:tcPr>
            <w:tcW w:w="0" w:type="auto"/>
            <w:vAlign w:val="center"/>
            <w:hideMark/>
          </w:tcPr>
          <w:p w14:paraId="5B7709B2"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Visto apposto o esonero CPB 2024-2025</w:t>
            </w:r>
          </w:p>
        </w:tc>
        <w:tc>
          <w:tcPr>
            <w:tcW w:w="0" w:type="auto"/>
            <w:vAlign w:val="center"/>
            <w:hideMark/>
          </w:tcPr>
          <w:p w14:paraId="00BBD22D"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Compensazioni consolidate; non erodono il plafond 2026</w:t>
            </w:r>
          </w:p>
        </w:tc>
      </w:tr>
      <w:tr w:rsidR="00A43B9E" w:rsidRPr="008A55CE" w14:paraId="1C5D547D" w14:textId="77777777" w:rsidTr="00A43B9E">
        <w:trPr>
          <w:tblCellSpacing w:w="15" w:type="dxa"/>
        </w:trPr>
        <w:tc>
          <w:tcPr>
            <w:tcW w:w="0" w:type="auto"/>
            <w:vAlign w:val="center"/>
            <w:hideMark/>
          </w:tcPr>
          <w:p w14:paraId="3F3F626E" w14:textId="05C5F078"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b/>
                <w:bCs/>
                <w:color w:val="000000"/>
                <w:sz w:val="20"/>
                <w:szCs w:val="20"/>
              </w:rPr>
              <w:t xml:space="preserve">IVA TR 3° </w:t>
            </w:r>
            <w:r w:rsidR="00631557">
              <w:rPr>
                <w:rFonts w:ascii="Arial" w:eastAsia="Arial" w:hAnsi="Arial" w:cs="Arial"/>
                <w:b/>
                <w:bCs/>
                <w:color w:val="000000"/>
                <w:sz w:val="20"/>
                <w:szCs w:val="20"/>
              </w:rPr>
              <w:t>t</w:t>
            </w:r>
            <w:r w:rsidRPr="008A55CE">
              <w:rPr>
                <w:rFonts w:ascii="Arial" w:eastAsia="Arial" w:hAnsi="Arial" w:cs="Arial"/>
                <w:b/>
                <w:bCs/>
                <w:color w:val="000000"/>
                <w:sz w:val="20"/>
                <w:szCs w:val="20"/>
              </w:rPr>
              <w:t>rimestre 2026</w:t>
            </w:r>
            <w:r w:rsidR="00631557">
              <w:rPr>
                <w:rFonts w:ascii="Arial" w:eastAsia="Arial" w:hAnsi="Arial" w:cs="Arial"/>
                <w:b/>
                <w:bCs/>
                <w:color w:val="000000"/>
                <w:sz w:val="20"/>
                <w:szCs w:val="20"/>
              </w:rPr>
              <w:t xml:space="preserve"> </w:t>
            </w:r>
            <w:r w:rsidRPr="008A55CE">
              <w:rPr>
                <w:rFonts w:ascii="Arial" w:eastAsia="Arial" w:hAnsi="Arial" w:cs="Arial"/>
                <w:color w:val="000000"/>
                <w:sz w:val="20"/>
                <w:szCs w:val="20"/>
              </w:rPr>
              <w:t>(</w:t>
            </w:r>
            <w:r w:rsidR="00DA2574">
              <w:rPr>
                <w:rFonts w:ascii="Arial" w:eastAsia="Arial" w:hAnsi="Arial" w:cs="Arial"/>
                <w:color w:val="000000"/>
                <w:sz w:val="20"/>
                <w:szCs w:val="20"/>
              </w:rPr>
              <w:t>scaduto</w:t>
            </w:r>
            <w:r w:rsidR="00F32C55">
              <w:rPr>
                <w:rFonts w:ascii="Arial" w:eastAsia="Arial" w:hAnsi="Arial" w:cs="Arial"/>
                <w:color w:val="000000"/>
                <w:sz w:val="20"/>
                <w:szCs w:val="20"/>
              </w:rPr>
              <w:t xml:space="preserve"> il</w:t>
            </w:r>
            <w:r w:rsidRPr="008A55CE">
              <w:rPr>
                <w:rFonts w:ascii="Arial" w:eastAsia="Arial" w:hAnsi="Arial" w:cs="Arial"/>
                <w:color w:val="000000"/>
                <w:sz w:val="20"/>
                <w:szCs w:val="20"/>
              </w:rPr>
              <w:t xml:space="preserve"> 31/10)</w:t>
            </w:r>
          </w:p>
        </w:tc>
        <w:tc>
          <w:tcPr>
            <w:tcW w:w="0" w:type="auto"/>
            <w:vAlign w:val="center"/>
            <w:hideMark/>
          </w:tcPr>
          <w:p w14:paraId="7DAFEAA0"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Obbligo di visto oltre 5.000 € (nessun esonero dal CPB 2026-2027)</w:t>
            </w:r>
          </w:p>
        </w:tc>
        <w:tc>
          <w:tcPr>
            <w:tcW w:w="0" w:type="auto"/>
            <w:vAlign w:val="center"/>
            <w:hideMark/>
          </w:tcPr>
          <w:p w14:paraId="60C90611"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Esonero fino al plafond spettante (per effetto del CPB 2024-2025)</w:t>
            </w:r>
          </w:p>
        </w:tc>
        <w:tc>
          <w:tcPr>
            <w:tcW w:w="0" w:type="auto"/>
            <w:vAlign w:val="center"/>
            <w:hideMark/>
          </w:tcPr>
          <w:p w14:paraId="1AFAA374"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Richiede visto salvo punteggio ISA 2025 autonomo o pregresso accordo</w:t>
            </w:r>
          </w:p>
        </w:tc>
      </w:tr>
      <w:tr w:rsidR="00A43B9E" w:rsidRPr="008A55CE" w14:paraId="07583C54" w14:textId="77777777" w:rsidTr="00A43B9E">
        <w:trPr>
          <w:tblCellSpacing w:w="15" w:type="dxa"/>
        </w:trPr>
        <w:tc>
          <w:tcPr>
            <w:tcW w:w="0" w:type="auto"/>
            <w:vAlign w:val="center"/>
            <w:hideMark/>
          </w:tcPr>
          <w:p w14:paraId="437EED7E" w14:textId="1C7F4262"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b/>
                <w:bCs/>
                <w:color w:val="000000"/>
                <w:sz w:val="20"/>
                <w:szCs w:val="20"/>
              </w:rPr>
              <w:t xml:space="preserve">Dichiarazione </w:t>
            </w:r>
            <w:r w:rsidR="00631557">
              <w:rPr>
                <w:rFonts w:ascii="Arial" w:eastAsia="Arial" w:hAnsi="Arial" w:cs="Arial"/>
                <w:b/>
                <w:bCs/>
                <w:color w:val="000000"/>
                <w:sz w:val="20"/>
                <w:szCs w:val="20"/>
              </w:rPr>
              <w:t>a</w:t>
            </w:r>
            <w:r w:rsidRPr="008A55CE">
              <w:rPr>
                <w:rFonts w:ascii="Arial" w:eastAsia="Arial" w:hAnsi="Arial" w:cs="Arial"/>
                <w:b/>
                <w:bCs/>
                <w:color w:val="000000"/>
                <w:sz w:val="20"/>
                <w:szCs w:val="20"/>
              </w:rPr>
              <w:t>nnuale IVA 2027</w:t>
            </w:r>
            <w:r w:rsidR="00631557">
              <w:rPr>
                <w:rFonts w:ascii="Arial" w:eastAsia="Arial" w:hAnsi="Arial" w:cs="Arial"/>
                <w:b/>
                <w:bCs/>
                <w:color w:val="000000"/>
                <w:sz w:val="20"/>
                <w:szCs w:val="20"/>
              </w:rPr>
              <w:t xml:space="preserve"> </w:t>
            </w:r>
            <w:r w:rsidRPr="008A55CE">
              <w:rPr>
                <w:rFonts w:ascii="Arial" w:eastAsia="Arial" w:hAnsi="Arial" w:cs="Arial"/>
                <w:color w:val="000000"/>
                <w:sz w:val="20"/>
                <w:szCs w:val="20"/>
              </w:rPr>
              <w:t>(anno 2026)</w:t>
            </w:r>
          </w:p>
        </w:tc>
        <w:tc>
          <w:tcPr>
            <w:tcW w:w="0" w:type="auto"/>
            <w:vAlign w:val="center"/>
            <w:hideMark/>
          </w:tcPr>
          <w:p w14:paraId="7769C972" w14:textId="173F8F98"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Esonero fino a</w:t>
            </w:r>
            <w:r w:rsidR="00631557">
              <w:rPr>
                <w:rFonts w:ascii="Arial" w:eastAsia="Arial" w:hAnsi="Arial" w:cs="Arial"/>
                <w:color w:val="000000"/>
                <w:sz w:val="20"/>
                <w:szCs w:val="20"/>
              </w:rPr>
              <w:t xml:space="preserve"> </w:t>
            </w:r>
            <w:r w:rsidRPr="008A55CE">
              <w:rPr>
                <w:rFonts w:ascii="Arial" w:eastAsia="Arial" w:hAnsi="Arial" w:cs="Arial"/>
                <w:b/>
                <w:bCs/>
                <w:color w:val="000000"/>
                <w:sz w:val="20"/>
                <w:szCs w:val="20"/>
              </w:rPr>
              <w:t>70.000 €</w:t>
            </w:r>
          </w:p>
        </w:tc>
        <w:tc>
          <w:tcPr>
            <w:tcW w:w="0" w:type="auto"/>
            <w:vAlign w:val="center"/>
            <w:hideMark/>
          </w:tcPr>
          <w:p w14:paraId="30620FFA" w14:textId="1BE5BD3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Esonero elevato a</w:t>
            </w:r>
            <w:r w:rsidR="00631557">
              <w:rPr>
                <w:rFonts w:ascii="Arial" w:eastAsia="Arial" w:hAnsi="Arial" w:cs="Arial"/>
                <w:color w:val="000000"/>
                <w:sz w:val="20"/>
                <w:szCs w:val="20"/>
              </w:rPr>
              <w:t xml:space="preserve"> </w:t>
            </w:r>
            <w:r w:rsidRPr="008A55CE">
              <w:rPr>
                <w:rFonts w:ascii="Arial" w:eastAsia="Arial" w:hAnsi="Arial" w:cs="Arial"/>
                <w:b/>
                <w:bCs/>
                <w:color w:val="000000"/>
                <w:sz w:val="20"/>
                <w:szCs w:val="20"/>
              </w:rPr>
              <w:t>100.000 €</w:t>
            </w:r>
          </w:p>
        </w:tc>
        <w:tc>
          <w:tcPr>
            <w:tcW w:w="0" w:type="auto"/>
            <w:vAlign w:val="center"/>
            <w:hideMark/>
          </w:tcPr>
          <w:p w14:paraId="3D0BC383"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Visto obbligatorio solo per la quota che eccede la franchigia</w:t>
            </w:r>
          </w:p>
        </w:tc>
      </w:tr>
      <w:tr w:rsidR="00A43B9E" w:rsidRPr="008A55CE" w14:paraId="0D95F372" w14:textId="77777777" w:rsidTr="00A43B9E">
        <w:trPr>
          <w:tblCellSpacing w:w="15" w:type="dxa"/>
        </w:trPr>
        <w:tc>
          <w:tcPr>
            <w:tcW w:w="0" w:type="auto"/>
            <w:vAlign w:val="center"/>
            <w:hideMark/>
          </w:tcPr>
          <w:p w14:paraId="5F0F1DC8" w14:textId="1613B90A"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b/>
                <w:bCs/>
                <w:color w:val="000000"/>
                <w:sz w:val="20"/>
                <w:szCs w:val="20"/>
              </w:rPr>
              <w:t xml:space="preserve">IVA TR </w:t>
            </w:r>
            <w:r w:rsidR="00631557">
              <w:rPr>
                <w:rFonts w:ascii="Arial" w:eastAsia="Arial" w:hAnsi="Arial" w:cs="Arial"/>
                <w:b/>
                <w:bCs/>
                <w:color w:val="000000"/>
                <w:sz w:val="20"/>
                <w:szCs w:val="20"/>
              </w:rPr>
              <w:t>t</w:t>
            </w:r>
            <w:r w:rsidRPr="008A55CE">
              <w:rPr>
                <w:rFonts w:ascii="Arial" w:eastAsia="Arial" w:hAnsi="Arial" w:cs="Arial"/>
                <w:b/>
                <w:bCs/>
                <w:color w:val="000000"/>
                <w:sz w:val="20"/>
                <w:szCs w:val="20"/>
              </w:rPr>
              <w:t>rimestri 2027 e 2028</w:t>
            </w:r>
          </w:p>
        </w:tc>
        <w:tc>
          <w:tcPr>
            <w:tcW w:w="0" w:type="auto"/>
            <w:vAlign w:val="center"/>
            <w:hideMark/>
          </w:tcPr>
          <w:p w14:paraId="61F6757E" w14:textId="776105E4"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Esonero fino a</w:t>
            </w:r>
            <w:r w:rsidR="00631557">
              <w:rPr>
                <w:rFonts w:ascii="Arial" w:eastAsia="Arial" w:hAnsi="Arial" w:cs="Arial"/>
                <w:color w:val="000000"/>
                <w:sz w:val="20"/>
                <w:szCs w:val="20"/>
              </w:rPr>
              <w:t xml:space="preserve"> </w:t>
            </w:r>
            <w:r w:rsidRPr="008A55CE">
              <w:rPr>
                <w:rFonts w:ascii="Arial" w:eastAsia="Arial" w:hAnsi="Arial" w:cs="Arial"/>
                <w:b/>
                <w:bCs/>
                <w:color w:val="000000"/>
                <w:sz w:val="20"/>
                <w:szCs w:val="20"/>
              </w:rPr>
              <w:t>70.000 € annui</w:t>
            </w:r>
          </w:p>
        </w:tc>
        <w:tc>
          <w:tcPr>
            <w:tcW w:w="0" w:type="auto"/>
            <w:vAlign w:val="center"/>
            <w:hideMark/>
          </w:tcPr>
          <w:p w14:paraId="47065BEF" w14:textId="12B58D8D"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Esonero fino a</w:t>
            </w:r>
            <w:r w:rsidR="00631557">
              <w:rPr>
                <w:rFonts w:ascii="Arial" w:eastAsia="Arial" w:hAnsi="Arial" w:cs="Arial"/>
                <w:color w:val="000000"/>
                <w:sz w:val="20"/>
                <w:szCs w:val="20"/>
              </w:rPr>
              <w:t xml:space="preserve"> </w:t>
            </w:r>
            <w:r w:rsidRPr="008A55CE">
              <w:rPr>
                <w:rFonts w:ascii="Arial" w:eastAsia="Arial" w:hAnsi="Arial" w:cs="Arial"/>
                <w:b/>
                <w:bCs/>
                <w:color w:val="000000"/>
                <w:sz w:val="20"/>
                <w:szCs w:val="20"/>
              </w:rPr>
              <w:t>100.000 € annui</w:t>
            </w:r>
          </w:p>
        </w:tc>
        <w:tc>
          <w:tcPr>
            <w:tcW w:w="0" w:type="auto"/>
            <w:vAlign w:val="center"/>
            <w:hideMark/>
          </w:tcPr>
          <w:p w14:paraId="5A01AEA6"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Piena operatività differita della premialità infrannuale CPB</w:t>
            </w:r>
          </w:p>
        </w:tc>
      </w:tr>
    </w:tbl>
    <w:p w14:paraId="5449573D" w14:textId="77777777"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p>
    <w:p w14:paraId="4CA9076C" w14:textId="74A0B4E9" w:rsidR="00A43B9E" w:rsidRPr="008A55CE" w:rsidRDefault="00A43B9E" w:rsidP="008A55CE">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8A55CE">
        <w:rPr>
          <w:rFonts w:ascii="Arial" w:eastAsia="Arial" w:hAnsi="Arial" w:cs="Arial"/>
          <w:color w:val="000000"/>
          <w:sz w:val="20"/>
          <w:szCs w:val="20"/>
        </w:rPr>
        <w:t>La distinzione tra i canali di maturazione del credito annuale e infrannuale evita contestazioni e impedisce il blocco delle deleghe F24 da parte dei sistemi di controllo telematico dell'Agenzia delle Entrate.</w:t>
      </w:r>
    </w:p>
    <w:p w14:paraId="338D63F2" w14:textId="77777777" w:rsidR="00AE2F3A" w:rsidRPr="008A55CE" w:rsidRDefault="00AE2F3A" w:rsidP="00665FFF">
      <w:pPr>
        <w:pBdr>
          <w:top w:val="nil"/>
          <w:left w:val="nil"/>
          <w:bottom w:val="nil"/>
          <w:right w:val="nil"/>
          <w:between w:val="nil"/>
        </w:pBdr>
        <w:tabs>
          <w:tab w:val="left" w:pos="2160"/>
          <w:tab w:val="left" w:pos="3168"/>
          <w:tab w:val="left" w:pos="4838"/>
        </w:tabs>
        <w:spacing w:line="300" w:lineRule="atLeast"/>
        <w:ind w:leftChars="0" w:left="0" w:firstLineChars="0" w:firstLine="0"/>
        <w:jc w:val="both"/>
        <w:rPr>
          <w:rFonts w:ascii="Arial" w:eastAsia="Arial" w:hAnsi="Arial" w:cs="Arial"/>
          <w:color w:val="000000"/>
          <w:sz w:val="20"/>
          <w:szCs w:val="20"/>
        </w:rPr>
      </w:pPr>
    </w:p>
    <w:p w14:paraId="52F9BF00" w14:textId="6BF55683" w:rsidR="00631557" w:rsidRDefault="00631557" w:rsidP="008A55CE">
      <w:pPr>
        <w:pBdr>
          <w:top w:val="nil"/>
          <w:left w:val="nil"/>
          <w:bottom w:val="nil"/>
          <w:right w:val="nil"/>
          <w:between w:val="nil"/>
        </w:pBdr>
        <w:spacing w:line="300" w:lineRule="atLeast"/>
        <w:ind w:left="0" w:hanging="2"/>
        <w:jc w:val="both"/>
        <w:rPr>
          <w:rFonts w:ascii="Arial" w:eastAsia="Arial" w:hAnsi="Arial" w:cs="Arial"/>
          <w:color w:val="000000"/>
          <w:sz w:val="20"/>
          <w:szCs w:val="20"/>
        </w:rPr>
      </w:pPr>
      <w:r>
        <w:rPr>
          <w:rFonts w:ascii="Arial" w:eastAsia="Arial" w:hAnsi="Arial" w:cs="Arial"/>
          <w:color w:val="000000"/>
          <w:sz w:val="20"/>
          <w:szCs w:val="20"/>
        </w:rPr>
        <w:br w:type="page"/>
      </w:r>
    </w:p>
    <w:p w14:paraId="3E04CA4A" w14:textId="77777777" w:rsidR="00100FD3" w:rsidRPr="008A55CE" w:rsidRDefault="00100FD3" w:rsidP="008A55CE">
      <w:pPr>
        <w:pBdr>
          <w:top w:val="nil"/>
          <w:left w:val="nil"/>
          <w:bottom w:val="nil"/>
          <w:right w:val="nil"/>
          <w:between w:val="nil"/>
        </w:pBdr>
        <w:spacing w:line="300" w:lineRule="atLeast"/>
        <w:ind w:left="0" w:hanging="2"/>
        <w:jc w:val="both"/>
        <w:rPr>
          <w:rFonts w:ascii="Arial" w:eastAsia="Arial" w:hAnsi="Arial" w:cs="Arial"/>
          <w:color w:val="000000"/>
          <w:sz w:val="20"/>
          <w:szCs w:val="20"/>
        </w:rPr>
      </w:pPr>
    </w:p>
    <w:p w14:paraId="79670841" w14:textId="77777777" w:rsidR="00631557" w:rsidRPr="00DD1E32" w:rsidRDefault="00631557" w:rsidP="00631557">
      <w:pPr>
        <w:shd w:val="clear" w:color="auto" w:fill="FFFFFF"/>
        <w:overflowPunct w:val="0"/>
        <w:autoSpaceDE w:val="0"/>
        <w:autoSpaceDN w:val="0"/>
        <w:adjustRightInd w:val="0"/>
        <w:spacing w:line="300" w:lineRule="atLeast"/>
        <w:ind w:left="0" w:hanging="2"/>
        <w:jc w:val="center"/>
        <w:textAlignment w:val="baseline"/>
        <w:rPr>
          <w:rFonts w:ascii="Calibri" w:eastAsia="Aptos" w:hAnsi="Calibri" w:cs="Arial"/>
          <w:color w:val="0F0F0F"/>
          <w:kern w:val="2"/>
          <w:sz w:val="22"/>
          <w:szCs w:val="22"/>
          <w:lang w:eastAsia="en-US"/>
        </w:rPr>
      </w:pPr>
      <w:r w:rsidRPr="00DD1E32">
        <w:rPr>
          <w:rFonts w:ascii="Calibri" w:eastAsia="Aptos" w:hAnsi="Calibri" w:cs="Arial"/>
          <w:color w:val="0F0F0F"/>
          <w:kern w:val="2"/>
          <w:sz w:val="22"/>
          <w:szCs w:val="22"/>
          <w:lang w:eastAsia="en-US"/>
        </w:rPr>
        <w:t>ACCERTAMENTO E RISCOSSIONE</w:t>
      </w:r>
    </w:p>
    <w:p w14:paraId="00B49363" w14:textId="77777777" w:rsidR="00631557" w:rsidRPr="00DD1E32" w:rsidRDefault="00631557" w:rsidP="00631557">
      <w:pPr>
        <w:pBdr>
          <w:between w:val="nil"/>
        </w:pBdr>
        <w:tabs>
          <w:tab w:val="left" w:pos="2160"/>
          <w:tab w:val="left" w:pos="3168"/>
          <w:tab w:val="left" w:pos="4838"/>
        </w:tabs>
        <w:spacing w:line="300" w:lineRule="atLeast"/>
        <w:ind w:left="0" w:hanging="2"/>
        <w:jc w:val="center"/>
        <w:rPr>
          <w:rFonts w:ascii="Arial" w:eastAsia="Arial" w:hAnsi="Arial" w:cs="Arial"/>
          <w:b/>
          <w:bCs/>
          <w:color w:val="000000"/>
          <w:sz w:val="20"/>
          <w:szCs w:val="20"/>
        </w:rPr>
      </w:pPr>
      <w:r w:rsidRPr="008C7273">
        <w:rPr>
          <w:rFonts w:ascii="Arial" w:eastAsia="Arial" w:hAnsi="Arial" w:cs="Arial"/>
          <w:b/>
          <w:bCs/>
          <w:color w:val="000000"/>
          <w:sz w:val="20"/>
          <w:szCs w:val="20"/>
        </w:rPr>
        <w:t>CPB e ravvedimento speciale</w:t>
      </w:r>
    </w:p>
    <w:p w14:paraId="2A86F47D" w14:textId="77777777" w:rsidR="00631557" w:rsidRPr="008C7273" w:rsidRDefault="00631557" w:rsidP="00631557">
      <w:pPr>
        <w:pBdr>
          <w:between w:val="nil"/>
        </w:pBdr>
        <w:tabs>
          <w:tab w:val="left" w:pos="2160"/>
          <w:tab w:val="left" w:pos="3168"/>
          <w:tab w:val="left" w:pos="4838"/>
        </w:tabs>
        <w:spacing w:line="300" w:lineRule="atLeast"/>
        <w:ind w:left="0" w:hanging="2"/>
        <w:jc w:val="center"/>
        <w:rPr>
          <w:rFonts w:ascii="Arial" w:eastAsia="Arial" w:hAnsi="Arial" w:cs="Arial"/>
          <w:i/>
          <w:iCs/>
          <w:color w:val="000000"/>
          <w:sz w:val="20"/>
          <w:szCs w:val="20"/>
        </w:rPr>
      </w:pPr>
      <w:r w:rsidRPr="008C7273">
        <w:rPr>
          <w:rFonts w:ascii="Arial" w:eastAsia="Arial" w:hAnsi="Arial" w:cs="Arial"/>
          <w:i/>
          <w:iCs/>
          <w:color w:val="000000"/>
          <w:sz w:val="20"/>
          <w:szCs w:val="20"/>
        </w:rPr>
        <w:t>Agenzia delle Entrate, Provvedimento 23 ottobre 2026, n. 296141/2026</w:t>
      </w:r>
    </w:p>
    <w:p w14:paraId="165E29BE" w14:textId="77777777" w:rsidR="00631557" w:rsidRPr="00DD1E32" w:rsidRDefault="00631557" w:rsidP="00631557">
      <w:pPr>
        <w:pBdr>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DD1E32">
        <w:rPr>
          <w:rFonts w:ascii="Arial" w:eastAsia="Arial" w:hAnsi="Arial" w:cs="Arial"/>
          <w:color w:val="000000"/>
          <w:sz w:val="20"/>
          <w:szCs w:val="20"/>
        </w:rPr>
        <w:t>Con un</w:t>
      </w:r>
      <w:r>
        <w:rPr>
          <w:rFonts w:ascii="Arial" w:eastAsia="Arial" w:hAnsi="Arial" w:cs="Arial"/>
          <w:color w:val="000000"/>
          <w:sz w:val="20"/>
          <w:szCs w:val="20"/>
        </w:rPr>
        <w:t xml:space="preserve"> </w:t>
      </w:r>
      <w:r w:rsidRPr="008C7273">
        <w:rPr>
          <w:rFonts w:ascii="Arial" w:eastAsia="Arial" w:hAnsi="Arial" w:cs="Arial"/>
          <w:sz w:val="20"/>
          <w:szCs w:val="20"/>
        </w:rPr>
        <w:t>provvedimento</w:t>
      </w:r>
      <w:r>
        <w:rPr>
          <w:rFonts w:ascii="Arial" w:eastAsia="Arial" w:hAnsi="Arial" w:cs="Arial"/>
          <w:color w:val="000000"/>
          <w:sz w:val="20"/>
          <w:szCs w:val="20"/>
        </w:rPr>
        <w:t xml:space="preserve"> </w:t>
      </w:r>
      <w:r w:rsidRPr="00DD1E32">
        <w:rPr>
          <w:rFonts w:ascii="Arial" w:eastAsia="Arial" w:hAnsi="Arial" w:cs="Arial"/>
          <w:color w:val="000000"/>
          <w:sz w:val="20"/>
          <w:szCs w:val="20"/>
        </w:rPr>
        <w:t xml:space="preserve">del 23 ottobre 2026, il direttore dell’Agenzia </w:t>
      </w:r>
      <w:r>
        <w:rPr>
          <w:rFonts w:ascii="Arial" w:eastAsia="Arial" w:hAnsi="Arial" w:cs="Arial"/>
          <w:color w:val="000000"/>
          <w:sz w:val="20"/>
          <w:szCs w:val="20"/>
        </w:rPr>
        <w:t xml:space="preserve">delle </w:t>
      </w:r>
      <w:r w:rsidRPr="00DD1E32">
        <w:rPr>
          <w:rFonts w:ascii="Arial" w:eastAsia="Arial" w:hAnsi="Arial" w:cs="Arial"/>
          <w:color w:val="000000"/>
          <w:sz w:val="20"/>
          <w:szCs w:val="20"/>
        </w:rPr>
        <w:t xml:space="preserve">Entrate ha definito </w:t>
      </w:r>
      <w:r w:rsidRPr="008C7273">
        <w:rPr>
          <w:rFonts w:ascii="Arial" w:eastAsia="Arial" w:hAnsi="Arial" w:cs="Arial"/>
          <w:b/>
          <w:bCs/>
          <w:color w:val="000000"/>
          <w:sz w:val="20"/>
          <w:szCs w:val="20"/>
        </w:rPr>
        <w:t>modalità e termini</w:t>
      </w:r>
      <w:r w:rsidRPr="00DD1E32">
        <w:rPr>
          <w:rFonts w:ascii="Arial" w:eastAsia="Arial" w:hAnsi="Arial" w:cs="Arial"/>
          <w:color w:val="000000"/>
          <w:sz w:val="20"/>
          <w:szCs w:val="20"/>
        </w:rPr>
        <w:t xml:space="preserve"> per accedere al ravvedimento speciale previsto dall’art</w:t>
      </w:r>
      <w:r>
        <w:rPr>
          <w:rFonts w:ascii="Arial" w:eastAsia="Arial" w:hAnsi="Arial" w:cs="Arial"/>
          <w:color w:val="000000"/>
          <w:sz w:val="20"/>
          <w:szCs w:val="20"/>
        </w:rPr>
        <w:t>.</w:t>
      </w:r>
      <w:r w:rsidRPr="00DD1E32">
        <w:rPr>
          <w:rFonts w:ascii="Arial" w:eastAsia="Arial" w:hAnsi="Arial" w:cs="Arial"/>
          <w:color w:val="000000"/>
          <w:sz w:val="20"/>
          <w:szCs w:val="20"/>
        </w:rPr>
        <w:t xml:space="preserve"> 29 del D</w:t>
      </w:r>
      <w:r>
        <w:rPr>
          <w:rFonts w:ascii="Arial" w:eastAsia="Arial" w:hAnsi="Arial" w:cs="Arial"/>
          <w:color w:val="000000"/>
          <w:sz w:val="20"/>
          <w:szCs w:val="20"/>
        </w:rPr>
        <w:t>.L</w:t>
      </w:r>
      <w:r w:rsidRPr="00DD1E32">
        <w:rPr>
          <w:rFonts w:ascii="Arial" w:eastAsia="Arial" w:hAnsi="Arial" w:cs="Arial"/>
          <w:color w:val="000000"/>
          <w:sz w:val="20"/>
          <w:szCs w:val="20"/>
        </w:rPr>
        <w:t>gs</w:t>
      </w:r>
      <w:r>
        <w:rPr>
          <w:rFonts w:ascii="Arial" w:eastAsia="Arial" w:hAnsi="Arial" w:cs="Arial"/>
          <w:color w:val="000000"/>
          <w:sz w:val="20"/>
          <w:szCs w:val="20"/>
        </w:rPr>
        <w:t>.</w:t>
      </w:r>
      <w:r w:rsidRPr="00DD1E32">
        <w:rPr>
          <w:rFonts w:ascii="Arial" w:eastAsia="Arial" w:hAnsi="Arial" w:cs="Arial"/>
          <w:color w:val="000000"/>
          <w:sz w:val="20"/>
          <w:szCs w:val="20"/>
        </w:rPr>
        <w:t xml:space="preserve"> n. 148/2026.</w:t>
      </w:r>
    </w:p>
    <w:p w14:paraId="6A34F42E" w14:textId="6FA73CBD" w:rsidR="004D79B7" w:rsidRPr="004D79B7" w:rsidRDefault="00631557" w:rsidP="00631557">
      <w:pPr>
        <w:pBdr>
          <w:top w:val="nil"/>
          <w:left w:val="nil"/>
          <w:bottom w:val="nil"/>
          <w:right w:val="nil"/>
          <w:between w:val="nil"/>
        </w:pBdr>
        <w:tabs>
          <w:tab w:val="left" w:pos="2160"/>
          <w:tab w:val="left" w:pos="3168"/>
          <w:tab w:val="left" w:pos="4838"/>
        </w:tabs>
        <w:spacing w:line="300" w:lineRule="atLeast"/>
        <w:ind w:left="0" w:hanging="2"/>
        <w:jc w:val="both"/>
        <w:rPr>
          <w:rFonts w:ascii="Arial" w:eastAsia="Arial" w:hAnsi="Arial" w:cs="Arial"/>
          <w:color w:val="000000"/>
          <w:sz w:val="20"/>
          <w:szCs w:val="20"/>
        </w:rPr>
      </w:pPr>
      <w:r w:rsidRPr="006E1BBB">
        <w:rPr>
          <w:rFonts w:ascii="Arial" w:eastAsia="Arial" w:hAnsi="Arial" w:cs="Arial"/>
          <w:color w:val="000000"/>
          <w:sz w:val="20"/>
          <w:szCs w:val="20"/>
        </w:rPr>
        <w:t>Di seguito</w:t>
      </w:r>
      <w:r w:rsidR="004D79B7" w:rsidRPr="006E1BBB">
        <w:rPr>
          <w:rFonts w:ascii="Arial" w:eastAsia="Arial" w:hAnsi="Arial" w:cs="Arial"/>
          <w:color w:val="000000"/>
          <w:sz w:val="20"/>
          <w:szCs w:val="20"/>
        </w:rPr>
        <w:t xml:space="preserve"> i punti salienti:</w:t>
      </w:r>
    </w:p>
    <w:p w14:paraId="0C887FC7" w14:textId="61ED699D" w:rsidR="004D79B7" w:rsidRPr="00631557" w:rsidRDefault="00631557" w:rsidP="00465C43">
      <w:pPr>
        <w:pStyle w:val="Paragrafoelenco"/>
        <w:numPr>
          <w:ilvl w:val="0"/>
          <w:numId w:val="12"/>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b/>
          <w:bCs/>
          <w:color w:val="000000"/>
          <w:sz w:val="20"/>
          <w:szCs w:val="20"/>
        </w:rPr>
        <w:t>p</w:t>
      </w:r>
      <w:r w:rsidR="004D79B7" w:rsidRPr="00631557">
        <w:rPr>
          <w:rFonts w:ascii="Arial" w:eastAsia="Arial" w:hAnsi="Arial" w:cs="Arial"/>
          <w:b/>
          <w:bCs/>
          <w:color w:val="000000"/>
          <w:sz w:val="20"/>
          <w:szCs w:val="20"/>
        </w:rPr>
        <w:t>erimetro applicativo e requisiti</w:t>
      </w:r>
      <w:r w:rsidR="004D79B7" w:rsidRPr="00631557">
        <w:rPr>
          <w:rFonts w:ascii="Arial" w:eastAsia="Arial" w:hAnsi="Arial" w:cs="Arial"/>
          <w:color w:val="000000"/>
          <w:sz w:val="20"/>
          <w:szCs w:val="20"/>
        </w:rPr>
        <w:t>:</w:t>
      </w:r>
      <w:r>
        <w:rPr>
          <w:rFonts w:ascii="Arial" w:eastAsia="Arial" w:hAnsi="Arial" w:cs="Arial"/>
          <w:color w:val="000000"/>
          <w:sz w:val="20"/>
          <w:szCs w:val="20"/>
        </w:rPr>
        <w:t xml:space="preserve"> </w:t>
      </w:r>
      <w:r w:rsidR="004D79B7" w:rsidRPr="00631557">
        <w:rPr>
          <w:rFonts w:ascii="Arial" w:eastAsia="Arial" w:hAnsi="Arial" w:cs="Arial"/>
          <w:color w:val="000000"/>
          <w:sz w:val="20"/>
          <w:szCs w:val="20"/>
        </w:rPr>
        <w:t>l'istituto è riservat</w:t>
      </w:r>
      <w:r w:rsidR="004D79B7" w:rsidRPr="006E1BBB">
        <w:rPr>
          <w:rFonts w:ascii="Arial" w:eastAsia="Arial" w:hAnsi="Arial" w:cs="Arial"/>
          <w:color w:val="000000"/>
          <w:sz w:val="20"/>
          <w:szCs w:val="20"/>
        </w:rPr>
        <w:t>o</w:t>
      </w:r>
      <w:r w:rsidR="006E1BBB" w:rsidRPr="006E1BBB">
        <w:rPr>
          <w:rFonts w:ascii="Arial" w:eastAsia="Arial" w:hAnsi="Arial" w:cs="Arial"/>
          <w:color w:val="000000"/>
          <w:sz w:val="20"/>
          <w:szCs w:val="20"/>
        </w:rPr>
        <w:t xml:space="preserve"> </w:t>
      </w:r>
      <w:r w:rsidR="004D79B7" w:rsidRPr="006E1BBB">
        <w:rPr>
          <w:rFonts w:ascii="Arial" w:eastAsia="Arial" w:hAnsi="Arial" w:cs="Arial"/>
          <w:color w:val="000000"/>
          <w:sz w:val="20"/>
          <w:szCs w:val="20"/>
        </w:rPr>
        <w:t>esclusivamente</w:t>
      </w:r>
      <w:r w:rsidR="006E1BBB" w:rsidRPr="006E1BBB">
        <w:rPr>
          <w:rFonts w:ascii="Arial" w:eastAsia="Arial" w:hAnsi="Arial" w:cs="Arial"/>
          <w:color w:val="000000"/>
          <w:sz w:val="20"/>
          <w:szCs w:val="20"/>
        </w:rPr>
        <w:t xml:space="preserve"> </w:t>
      </w:r>
      <w:r w:rsidR="004D79B7" w:rsidRPr="006E1BBB">
        <w:rPr>
          <w:rFonts w:ascii="Arial" w:eastAsia="Arial" w:hAnsi="Arial" w:cs="Arial"/>
          <w:color w:val="000000"/>
          <w:sz w:val="20"/>
          <w:szCs w:val="20"/>
        </w:rPr>
        <w:t>ai c</w:t>
      </w:r>
      <w:r w:rsidR="004D79B7" w:rsidRPr="00631557">
        <w:rPr>
          <w:rFonts w:ascii="Arial" w:eastAsia="Arial" w:hAnsi="Arial" w:cs="Arial"/>
          <w:color w:val="000000"/>
          <w:sz w:val="20"/>
          <w:szCs w:val="20"/>
        </w:rPr>
        <w:t>ontribuenti che hanno aderito al concordato preventivo biennale (CPB) per il 2024-2025 e che ne</w:t>
      </w:r>
      <w:r w:rsidR="007E6541">
        <w:rPr>
          <w:rFonts w:ascii="Arial" w:eastAsia="Arial" w:hAnsi="Arial" w:cs="Arial"/>
          <w:color w:val="000000"/>
          <w:sz w:val="20"/>
          <w:szCs w:val="20"/>
        </w:rPr>
        <w:t xml:space="preserve"> hanno</w:t>
      </w:r>
      <w:r w:rsidR="006E1BBB">
        <w:rPr>
          <w:rFonts w:ascii="Arial" w:eastAsia="Arial" w:hAnsi="Arial" w:cs="Arial"/>
          <w:color w:val="000000"/>
          <w:sz w:val="20"/>
          <w:szCs w:val="20"/>
        </w:rPr>
        <w:t xml:space="preserve"> </w:t>
      </w:r>
      <w:r w:rsidR="004D79B7" w:rsidRPr="00631557">
        <w:rPr>
          <w:rFonts w:ascii="Arial" w:eastAsia="Arial" w:hAnsi="Arial" w:cs="Arial"/>
          <w:b/>
          <w:bCs/>
          <w:color w:val="000000"/>
          <w:sz w:val="20"/>
          <w:szCs w:val="20"/>
        </w:rPr>
        <w:t>rinnova</w:t>
      </w:r>
      <w:r w:rsidR="007E6541">
        <w:rPr>
          <w:rFonts w:ascii="Arial" w:eastAsia="Arial" w:hAnsi="Arial" w:cs="Arial"/>
          <w:b/>
          <w:bCs/>
          <w:color w:val="000000"/>
          <w:sz w:val="20"/>
          <w:szCs w:val="20"/>
        </w:rPr>
        <w:t>t</w:t>
      </w:r>
      <w:r w:rsidR="004D79B7" w:rsidRPr="00631557">
        <w:rPr>
          <w:rFonts w:ascii="Arial" w:eastAsia="Arial" w:hAnsi="Arial" w:cs="Arial"/>
          <w:b/>
          <w:bCs/>
          <w:color w:val="000000"/>
          <w:sz w:val="20"/>
          <w:szCs w:val="20"/>
        </w:rPr>
        <w:t>o l'adesione per il biennio 2026-2027</w:t>
      </w:r>
      <w:r w:rsidR="00665FFF" w:rsidRPr="00665FFF">
        <w:rPr>
          <w:rFonts w:ascii="Arial" w:eastAsia="Arial" w:hAnsi="Arial" w:cs="Arial"/>
          <w:color w:val="000000"/>
          <w:sz w:val="20"/>
          <w:szCs w:val="20"/>
        </w:rPr>
        <w:t xml:space="preserve"> </w:t>
      </w:r>
      <w:r w:rsidR="004D79B7" w:rsidRPr="00631557">
        <w:rPr>
          <w:rFonts w:ascii="Arial" w:eastAsia="Arial" w:hAnsi="Arial" w:cs="Arial"/>
          <w:color w:val="000000"/>
          <w:sz w:val="20"/>
          <w:szCs w:val="20"/>
        </w:rPr>
        <w:t>(entro il 2 novembre 2026). Non è pertanto accessibile a chi aderisce al CPB per la prima volta. Rientrano nella misura i soggetti ISA, chi ha dichiarato cause di esclusione legate al Covid-19, chi ha segnalato un non normale svolgimento dell'attività e gli operatori con ricavi "fuori ISA" superiori al 30%</w:t>
      </w:r>
      <w:r w:rsidR="006E1BBB">
        <w:rPr>
          <w:rFonts w:ascii="Arial" w:eastAsia="Arial" w:hAnsi="Arial" w:cs="Arial"/>
          <w:color w:val="000000"/>
          <w:sz w:val="20"/>
          <w:szCs w:val="20"/>
        </w:rPr>
        <w:t>;</w:t>
      </w:r>
    </w:p>
    <w:p w14:paraId="6B9A9A74" w14:textId="327748AB" w:rsidR="004D79B7" w:rsidRPr="00631557" w:rsidRDefault="00631557" w:rsidP="00465C43">
      <w:pPr>
        <w:pStyle w:val="Paragrafoelenco"/>
        <w:numPr>
          <w:ilvl w:val="0"/>
          <w:numId w:val="12"/>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b/>
          <w:bCs/>
          <w:color w:val="000000"/>
          <w:sz w:val="20"/>
          <w:szCs w:val="20"/>
        </w:rPr>
        <w:t>b</w:t>
      </w:r>
      <w:r w:rsidR="004D79B7" w:rsidRPr="00631557">
        <w:rPr>
          <w:rFonts w:ascii="Arial" w:eastAsia="Arial" w:hAnsi="Arial" w:cs="Arial"/>
          <w:b/>
          <w:bCs/>
          <w:color w:val="000000"/>
          <w:sz w:val="20"/>
          <w:szCs w:val="20"/>
        </w:rPr>
        <w:t>ase imponibile cristallizzata al 12 agosto 2026</w:t>
      </w:r>
      <w:r w:rsidR="004D79B7" w:rsidRPr="00631557">
        <w:rPr>
          <w:rFonts w:ascii="Arial" w:eastAsia="Arial" w:hAnsi="Arial" w:cs="Arial"/>
          <w:color w:val="000000"/>
          <w:sz w:val="20"/>
          <w:szCs w:val="20"/>
        </w:rPr>
        <w:t>:</w:t>
      </w:r>
      <w:r>
        <w:rPr>
          <w:rFonts w:ascii="Arial" w:eastAsia="Arial" w:hAnsi="Arial" w:cs="Arial"/>
          <w:color w:val="000000"/>
          <w:sz w:val="20"/>
          <w:szCs w:val="20"/>
        </w:rPr>
        <w:t xml:space="preserve"> </w:t>
      </w:r>
      <w:r w:rsidR="004D79B7" w:rsidRPr="00631557">
        <w:rPr>
          <w:rFonts w:ascii="Arial" w:eastAsia="Arial" w:hAnsi="Arial" w:cs="Arial"/>
          <w:color w:val="000000"/>
          <w:sz w:val="20"/>
          <w:szCs w:val="20"/>
        </w:rPr>
        <w:t>per determinare gli importi si farà riferimento ai dati dichiarativi e alle informazioni ISA esistenti alla data di entrata in vigore del decreto (12 agosto 2026). I soggetti che producono sia reddito d'impresa sia di lavoro autonomo non potranno fare scelte parziali, ma dovranno ravvedere entrambe le categorie reddituali per la medesima annualità</w:t>
      </w:r>
      <w:r w:rsidR="006E1BBB">
        <w:rPr>
          <w:rFonts w:ascii="Arial" w:eastAsia="Arial" w:hAnsi="Arial" w:cs="Arial"/>
          <w:color w:val="000000"/>
          <w:sz w:val="20"/>
          <w:szCs w:val="20"/>
        </w:rPr>
        <w:t>;</w:t>
      </w:r>
    </w:p>
    <w:p w14:paraId="252457F1" w14:textId="4A02DE01" w:rsidR="004D79B7" w:rsidRPr="00631557" w:rsidRDefault="00631557" w:rsidP="00465C43">
      <w:pPr>
        <w:pStyle w:val="Paragrafoelenco"/>
        <w:numPr>
          <w:ilvl w:val="0"/>
          <w:numId w:val="12"/>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b/>
          <w:bCs/>
          <w:color w:val="000000"/>
          <w:sz w:val="20"/>
          <w:szCs w:val="20"/>
        </w:rPr>
        <w:t>m</w:t>
      </w:r>
      <w:r w:rsidR="004D79B7" w:rsidRPr="00631557">
        <w:rPr>
          <w:rFonts w:ascii="Arial" w:eastAsia="Arial" w:hAnsi="Arial" w:cs="Arial"/>
          <w:b/>
          <w:bCs/>
          <w:color w:val="000000"/>
          <w:sz w:val="20"/>
          <w:szCs w:val="20"/>
        </w:rPr>
        <w:t>odalità di opzione (Modello F24)</w:t>
      </w:r>
      <w:r w:rsidR="004D79B7" w:rsidRPr="00631557">
        <w:rPr>
          <w:rFonts w:ascii="Arial" w:eastAsia="Arial" w:hAnsi="Arial" w:cs="Arial"/>
          <w:color w:val="000000"/>
          <w:sz w:val="20"/>
          <w:szCs w:val="20"/>
        </w:rPr>
        <w:t>:</w:t>
      </w:r>
      <w:r>
        <w:rPr>
          <w:rFonts w:ascii="Arial" w:eastAsia="Arial" w:hAnsi="Arial" w:cs="Arial"/>
          <w:color w:val="000000"/>
          <w:sz w:val="20"/>
          <w:szCs w:val="20"/>
        </w:rPr>
        <w:t xml:space="preserve"> </w:t>
      </w:r>
      <w:r w:rsidR="004D79B7" w:rsidRPr="00631557">
        <w:rPr>
          <w:rFonts w:ascii="Arial" w:eastAsia="Arial" w:hAnsi="Arial" w:cs="Arial"/>
          <w:color w:val="000000"/>
          <w:sz w:val="20"/>
          <w:szCs w:val="20"/>
        </w:rPr>
        <w:t>il ravvedimento si perfeziona con il versamento delle imposte sostitutive tramite modello F24 (prima rata o intero importo).</w:t>
      </w:r>
      <w:r w:rsidR="006E1BBB">
        <w:rPr>
          <w:rFonts w:ascii="Arial" w:eastAsia="Arial" w:hAnsi="Arial" w:cs="Arial"/>
          <w:color w:val="000000"/>
          <w:sz w:val="20"/>
          <w:szCs w:val="20"/>
        </w:rPr>
        <w:t xml:space="preserve"> </w:t>
      </w:r>
      <w:r w:rsidR="004D79B7" w:rsidRPr="00631557">
        <w:rPr>
          <w:rFonts w:ascii="Arial" w:eastAsia="Arial" w:hAnsi="Arial" w:cs="Arial"/>
          <w:color w:val="000000"/>
          <w:sz w:val="20"/>
          <w:szCs w:val="20"/>
        </w:rPr>
        <w:t>Il contribuente può scegliere singolarmente quali e quante annualità sanare (ad esempio, solo il 2021). Per le società di persone e le associazioni professionali, l'opzione è valida solo con la presentazione di tutti gli F24 necessari (della società per l'I</w:t>
      </w:r>
      <w:r w:rsidR="006E1BBB">
        <w:rPr>
          <w:rFonts w:ascii="Arial" w:eastAsia="Arial" w:hAnsi="Arial" w:cs="Arial"/>
          <w:color w:val="000000"/>
          <w:sz w:val="20"/>
          <w:szCs w:val="20"/>
        </w:rPr>
        <w:t>RAP</w:t>
      </w:r>
      <w:r w:rsidR="004D79B7" w:rsidRPr="00631557">
        <w:rPr>
          <w:rFonts w:ascii="Arial" w:eastAsia="Arial" w:hAnsi="Arial" w:cs="Arial"/>
          <w:color w:val="000000"/>
          <w:sz w:val="20"/>
          <w:szCs w:val="20"/>
        </w:rPr>
        <w:t xml:space="preserve"> e dei soci per le imposte sui redditi)</w:t>
      </w:r>
      <w:r w:rsidR="006E1BBB">
        <w:rPr>
          <w:rFonts w:ascii="Arial" w:eastAsia="Arial" w:hAnsi="Arial" w:cs="Arial"/>
          <w:color w:val="000000"/>
          <w:sz w:val="20"/>
          <w:szCs w:val="20"/>
        </w:rPr>
        <w:t>;</w:t>
      </w:r>
    </w:p>
    <w:p w14:paraId="7E4E7F81" w14:textId="4D8A853E" w:rsidR="004D79B7" w:rsidRPr="00631557" w:rsidRDefault="00631557" w:rsidP="00465C43">
      <w:pPr>
        <w:pStyle w:val="Paragrafoelenco"/>
        <w:numPr>
          <w:ilvl w:val="0"/>
          <w:numId w:val="12"/>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b/>
          <w:bCs/>
          <w:color w:val="000000"/>
          <w:sz w:val="20"/>
          <w:szCs w:val="20"/>
        </w:rPr>
        <w:t>r</w:t>
      </w:r>
      <w:r w:rsidR="004D79B7" w:rsidRPr="00631557">
        <w:rPr>
          <w:rFonts w:ascii="Arial" w:eastAsia="Arial" w:hAnsi="Arial" w:cs="Arial"/>
          <w:b/>
          <w:bCs/>
          <w:color w:val="000000"/>
          <w:sz w:val="20"/>
          <w:szCs w:val="20"/>
        </w:rPr>
        <w:t>ateazione e scadenze</w:t>
      </w:r>
      <w:r w:rsidR="004D79B7" w:rsidRPr="00631557">
        <w:rPr>
          <w:rFonts w:ascii="Arial" w:eastAsia="Arial" w:hAnsi="Arial" w:cs="Arial"/>
          <w:color w:val="000000"/>
          <w:sz w:val="20"/>
          <w:szCs w:val="20"/>
        </w:rPr>
        <w:t>:</w:t>
      </w:r>
      <w:r>
        <w:rPr>
          <w:rFonts w:ascii="Arial" w:eastAsia="Arial" w:hAnsi="Arial" w:cs="Arial"/>
          <w:color w:val="000000"/>
          <w:sz w:val="20"/>
          <w:szCs w:val="20"/>
        </w:rPr>
        <w:t xml:space="preserve"> </w:t>
      </w:r>
      <w:r w:rsidR="004D79B7" w:rsidRPr="00631557">
        <w:rPr>
          <w:rFonts w:ascii="Arial" w:eastAsia="Arial" w:hAnsi="Arial" w:cs="Arial"/>
          <w:color w:val="000000"/>
          <w:sz w:val="20"/>
          <w:szCs w:val="20"/>
        </w:rPr>
        <w:t>è previsto il pagamento in un'unica soluzione o in un massimo di</w:t>
      </w:r>
      <w:r w:rsidR="00665FFF">
        <w:rPr>
          <w:rFonts w:ascii="Arial" w:eastAsia="Arial" w:hAnsi="Arial" w:cs="Arial"/>
          <w:color w:val="000000"/>
          <w:sz w:val="20"/>
          <w:szCs w:val="20"/>
        </w:rPr>
        <w:t xml:space="preserve"> </w:t>
      </w:r>
      <w:r w:rsidR="004D79B7" w:rsidRPr="00631557">
        <w:rPr>
          <w:rFonts w:ascii="Arial" w:eastAsia="Arial" w:hAnsi="Arial" w:cs="Arial"/>
          <w:b/>
          <w:bCs/>
          <w:color w:val="000000"/>
          <w:sz w:val="20"/>
          <w:szCs w:val="20"/>
        </w:rPr>
        <w:t>dieci rate mensili</w:t>
      </w:r>
      <w:r w:rsidR="004D79B7" w:rsidRPr="00631557">
        <w:rPr>
          <w:rFonts w:ascii="Arial" w:eastAsia="Arial" w:hAnsi="Arial" w:cs="Arial"/>
          <w:color w:val="000000"/>
          <w:sz w:val="20"/>
          <w:szCs w:val="20"/>
        </w:rPr>
        <w:t>. L'opzione potrà essere esercitata</w:t>
      </w:r>
      <w:r w:rsidR="00665FFF">
        <w:rPr>
          <w:rFonts w:ascii="Arial" w:eastAsia="Arial" w:hAnsi="Arial" w:cs="Arial"/>
          <w:color w:val="000000"/>
          <w:sz w:val="20"/>
          <w:szCs w:val="20"/>
        </w:rPr>
        <w:t xml:space="preserve"> </w:t>
      </w:r>
      <w:r w:rsidR="004D79B7" w:rsidRPr="00631557">
        <w:rPr>
          <w:rFonts w:ascii="Arial" w:eastAsia="Arial" w:hAnsi="Arial" w:cs="Arial"/>
          <w:b/>
          <w:bCs/>
          <w:color w:val="000000"/>
          <w:sz w:val="20"/>
          <w:szCs w:val="20"/>
        </w:rPr>
        <w:t>dal 1° gennaio al 15 marzo 2027</w:t>
      </w:r>
      <w:r w:rsidR="004D79B7" w:rsidRPr="00631557">
        <w:rPr>
          <w:rFonts w:ascii="Arial" w:eastAsia="Arial" w:hAnsi="Arial" w:cs="Arial"/>
          <w:color w:val="000000"/>
          <w:sz w:val="20"/>
          <w:szCs w:val="20"/>
        </w:rPr>
        <w:t>. Sulle rate successive alla prima verranno applicati gli interessi legali a partire dal 16 marzo 2027. In ottica di favore, il pagamento tardivo di una rata diversa dalla prima non comporta la decadenza, a condizione che venga saldata entro la scadenza della rata successiva</w:t>
      </w:r>
      <w:r w:rsidR="00665FFF">
        <w:rPr>
          <w:rFonts w:ascii="Arial" w:eastAsia="Arial" w:hAnsi="Arial" w:cs="Arial"/>
          <w:color w:val="000000"/>
          <w:sz w:val="20"/>
          <w:szCs w:val="20"/>
        </w:rPr>
        <w:t>;</w:t>
      </w:r>
    </w:p>
    <w:p w14:paraId="247E7898" w14:textId="1ED2A70B" w:rsidR="004D79B7" w:rsidRPr="00631557" w:rsidRDefault="00631557" w:rsidP="00465C43">
      <w:pPr>
        <w:pStyle w:val="Paragrafoelenco"/>
        <w:numPr>
          <w:ilvl w:val="0"/>
          <w:numId w:val="12"/>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b/>
          <w:bCs/>
          <w:color w:val="000000"/>
          <w:sz w:val="20"/>
          <w:szCs w:val="20"/>
        </w:rPr>
        <w:t>q</w:t>
      </w:r>
      <w:r w:rsidR="004D79B7" w:rsidRPr="00631557">
        <w:rPr>
          <w:rFonts w:ascii="Arial" w:eastAsia="Arial" w:hAnsi="Arial" w:cs="Arial"/>
          <w:b/>
          <w:bCs/>
          <w:color w:val="000000"/>
          <w:sz w:val="20"/>
          <w:szCs w:val="20"/>
        </w:rPr>
        <w:t>uando il ravvedimento non si perfeziona</w:t>
      </w:r>
      <w:r w:rsidR="004D79B7" w:rsidRPr="00631557">
        <w:rPr>
          <w:rFonts w:ascii="Arial" w:eastAsia="Arial" w:hAnsi="Arial" w:cs="Arial"/>
          <w:color w:val="000000"/>
          <w:sz w:val="20"/>
          <w:szCs w:val="20"/>
        </w:rPr>
        <w:t>:</w:t>
      </w:r>
      <w:r>
        <w:rPr>
          <w:rFonts w:ascii="Arial" w:eastAsia="Arial" w:hAnsi="Arial" w:cs="Arial"/>
          <w:color w:val="000000"/>
          <w:sz w:val="20"/>
          <w:szCs w:val="20"/>
        </w:rPr>
        <w:t xml:space="preserve"> </w:t>
      </w:r>
      <w:r w:rsidR="004D79B7" w:rsidRPr="00631557">
        <w:rPr>
          <w:rFonts w:ascii="Arial" w:eastAsia="Arial" w:hAnsi="Arial" w:cs="Arial"/>
          <w:color w:val="000000"/>
          <w:sz w:val="20"/>
          <w:szCs w:val="20"/>
        </w:rPr>
        <w:t>l'adesione non ha efficacia se il versamento della prima (o unica) rata avviene dopo la notifica di un processo verbale di constatazione (PVC), di uno schema di atto di accertamento o di un atto di recupero crediti</w:t>
      </w:r>
      <w:r w:rsidR="00665FFF">
        <w:rPr>
          <w:rFonts w:ascii="Arial" w:eastAsia="Arial" w:hAnsi="Arial" w:cs="Arial"/>
          <w:color w:val="000000"/>
          <w:sz w:val="20"/>
          <w:szCs w:val="20"/>
        </w:rPr>
        <w:t>;</w:t>
      </w:r>
    </w:p>
    <w:p w14:paraId="22E514F2" w14:textId="075CBDDF" w:rsidR="004D79B7" w:rsidRPr="00631557" w:rsidRDefault="00631557" w:rsidP="00465C43">
      <w:pPr>
        <w:pStyle w:val="Paragrafoelenco"/>
        <w:numPr>
          <w:ilvl w:val="0"/>
          <w:numId w:val="12"/>
        </w:numPr>
        <w:pBdr>
          <w:top w:val="nil"/>
          <w:left w:val="nil"/>
          <w:bottom w:val="nil"/>
          <w:right w:val="nil"/>
          <w:between w:val="nil"/>
        </w:pBdr>
        <w:tabs>
          <w:tab w:val="left" w:pos="2160"/>
          <w:tab w:val="left" w:pos="3168"/>
          <w:tab w:val="left" w:pos="4838"/>
        </w:tabs>
        <w:spacing w:line="300" w:lineRule="atLeast"/>
        <w:ind w:leftChars="0" w:firstLineChars="0"/>
        <w:jc w:val="both"/>
        <w:rPr>
          <w:rFonts w:ascii="Arial" w:eastAsia="Arial" w:hAnsi="Arial" w:cs="Arial"/>
          <w:color w:val="000000"/>
          <w:sz w:val="20"/>
          <w:szCs w:val="20"/>
        </w:rPr>
      </w:pPr>
      <w:r>
        <w:rPr>
          <w:rFonts w:ascii="Arial" w:eastAsia="Arial" w:hAnsi="Arial" w:cs="Arial"/>
          <w:b/>
          <w:bCs/>
          <w:color w:val="000000"/>
          <w:sz w:val="20"/>
          <w:szCs w:val="20"/>
        </w:rPr>
        <w:t>c</w:t>
      </w:r>
      <w:r w:rsidR="004D79B7" w:rsidRPr="00631557">
        <w:rPr>
          <w:rFonts w:ascii="Arial" w:eastAsia="Arial" w:hAnsi="Arial" w:cs="Arial"/>
          <w:b/>
          <w:bCs/>
          <w:color w:val="000000"/>
          <w:sz w:val="20"/>
          <w:szCs w:val="20"/>
        </w:rPr>
        <w:t>assetto fiscale</w:t>
      </w:r>
      <w:r w:rsidR="004D79B7" w:rsidRPr="001B1FE4">
        <w:rPr>
          <w:rFonts w:ascii="Arial" w:eastAsia="Arial" w:hAnsi="Arial" w:cs="Arial"/>
          <w:color w:val="000000"/>
          <w:sz w:val="20"/>
          <w:szCs w:val="20"/>
        </w:rPr>
        <w:t>:</w:t>
      </w:r>
      <w:r w:rsidR="001B1FE4">
        <w:rPr>
          <w:rFonts w:ascii="Arial" w:eastAsia="Arial" w:hAnsi="Arial" w:cs="Arial"/>
          <w:color w:val="000000"/>
          <w:sz w:val="20"/>
          <w:szCs w:val="20"/>
        </w:rPr>
        <w:t xml:space="preserve"> </w:t>
      </w:r>
      <w:r w:rsidR="004D79B7" w:rsidRPr="00631557">
        <w:rPr>
          <w:rFonts w:ascii="Arial" w:eastAsia="Arial" w:hAnsi="Arial" w:cs="Arial"/>
          <w:color w:val="000000"/>
          <w:sz w:val="20"/>
          <w:szCs w:val="20"/>
        </w:rPr>
        <w:t xml:space="preserve">per semplificare gli adempimenti, l'Agenzia </w:t>
      </w:r>
      <w:r w:rsidR="00665FFF">
        <w:rPr>
          <w:rFonts w:ascii="Arial" w:eastAsia="Arial" w:hAnsi="Arial" w:cs="Arial"/>
          <w:color w:val="000000"/>
          <w:sz w:val="20"/>
          <w:szCs w:val="20"/>
        </w:rPr>
        <w:t xml:space="preserve">delle </w:t>
      </w:r>
      <w:r w:rsidR="004D79B7" w:rsidRPr="00631557">
        <w:rPr>
          <w:rFonts w:ascii="Arial" w:eastAsia="Arial" w:hAnsi="Arial" w:cs="Arial"/>
          <w:color w:val="000000"/>
          <w:sz w:val="20"/>
          <w:szCs w:val="20"/>
        </w:rPr>
        <w:t xml:space="preserve">Entrate metterà a disposizione dei contribuenti e dei loro intermediari appositi elementi informativi all'interno del </w:t>
      </w:r>
      <w:r w:rsidR="00665FFF">
        <w:rPr>
          <w:rFonts w:ascii="Arial" w:eastAsia="Arial" w:hAnsi="Arial" w:cs="Arial"/>
          <w:color w:val="000000"/>
          <w:sz w:val="20"/>
          <w:szCs w:val="20"/>
        </w:rPr>
        <w:t>c</w:t>
      </w:r>
      <w:r w:rsidR="004D79B7" w:rsidRPr="00631557">
        <w:rPr>
          <w:rFonts w:ascii="Arial" w:eastAsia="Arial" w:hAnsi="Arial" w:cs="Arial"/>
          <w:color w:val="000000"/>
          <w:sz w:val="20"/>
          <w:szCs w:val="20"/>
        </w:rPr>
        <w:t xml:space="preserve">assetto </w:t>
      </w:r>
      <w:r w:rsidR="00665FFF">
        <w:rPr>
          <w:rFonts w:ascii="Arial" w:eastAsia="Arial" w:hAnsi="Arial" w:cs="Arial"/>
          <w:color w:val="000000"/>
          <w:sz w:val="20"/>
          <w:szCs w:val="20"/>
        </w:rPr>
        <w:t>f</w:t>
      </w:r>
      <w:r w:rsidR="004D79B7" w:rsidRPr="00631557">
        <w:rPr>
          <w:rFonts w:ascii="Arial" w:eastAsia="Arial" w:hAnsi="Arial" w:cs="Arial"/>
          <w:color w:val="000000"/>
          <w:sz w:val="20"/>
          <w:szCs w:val="20"/>
        </w:rPr>
        <w:t>iscale, utili per calcolare agevolmente le imposte sostitutive dovute.</w:t>
      </w:r>
    </w:p>
    <w:p w14:paraId="2C8571C8" w14:textId="77777777" w:rsidR="004D79B7" w:rsidRPr="004D79B7" w:rsidRDefault="004D79B7" w:rsidP="006E1BBB">
      <w:pPr>
        <w:pBdr>
          <w:top w:val="nil"/>
          <w:left w:val="nil"/>
          <w:bottom w:val="nil"/>
          <w:right w:val="nil"/>
          <w:between w:val="nil"/>
        </w:pBdr>
        <w:spacing w:line="300" w:lineRule="atLeast"/>
        <w:ind w:left="0" w:hanging="2"/>
        <w:jc w:val="both"/>
        <w:rPr>
          <w:rFonts w:ascii="Arial" w:eastAsia="Arial" w:hAnsi="Arial" w:cs="Arial"/>
          <w:color w:val="000000"/>
          <w:sz w:val="20"/>
          <w:szCs w:val="20"/>
        </w:rPr>
      </w:pPr>
    </w:p>
    <w:p w14:paraId="33E4F853" w14:textId="443FC59A" w:rsidR="00E35587" w:rsidRDefault="00E35587" w:rsidP="006E1BBB">
      <w:pPr>
        <w:pBdr>
          <w:top w:val="nil"/>
          <w:left w:val="nil"/>
          <w:bottom w:val="nil"/>
          <w:right w:val="nil"/>
          <w:between w:val="nil"/>
        </w:pBdr>
        <w:spacing w:line="300" w:lineRule="atLeast"/>
        <w:ind w:left="0" w:hanging="2"/>
        <w:jc w:val="both"/>
        <w:rPr>
          <w:rFonts w:ascii="Arial" w:eastAsia="Arial" w:hAnsi="Arial" w:cs="Arial"/>
          <w:color w:val="000000"/>
          <w:sz w:val="20"/>
          <w:szCs w:val="20"/>
        </w:rPr>
      </w:pPr>
      <w:r>
        <w:rPr>
          <w:rFonts w:ascii="Arial" w:eastAsia="Arial" w:hAnsi="Arial" w:cs="Arial"/>
          <w:color w:val="000000"/>
          <w:sz w:val="20"/>
          <w:szCs w:val="20"/>
        </w:rPr>
        <w:br w:type="page"/>
      </w:r>
    </w:p>
    <w:p w14:paraId="74D7690A" w14:textId="77777777" w:rsidR="00E35587" w:rsidRPr="001B1FE4" w:rsidRDefault="00E35587" w:rsidP="001B1FE4">
      <w:pPr>
        <w:pBdr>
          <w:top w:val="nil"/>
          <w:left w:val="nil"/>
          <w:bottom w:val="nil"/>
          <w:right w:val="nil"/>
          <w:between w:val="nil"/>
        </w:pBdr>
        <w:spacing w:line="300" w:lineRule="atLeast"/>
        <w:ind w:leftChars="0" w:left="0" w:firstLineChars="0" w:firstLine="0"/>
        <w:jc w:val="both"/>
        <w:rPr>
          <w:rFonts w:ascii="Arial" w:eastAsia="Arial" w:hAnsi="Arial" w:cs="Arial"/>
          <w:color w:val="000000"/>
          <w:sz w:val="20"/>
          <w:szCs w:val="20"/>
        </w:rPr>
      </w:pPr>
    </w:p>
    <w:tbl>
      <w:tblPr>
        <w:tblW w:w="0" w:type="auto"/>
        <w:tblInd w:w="108" w:type="dxa"/>
        <w:tblLook w:val="01E0" w:firstRow="1" w:lastRow="1" w:firstColumn="1" w:lastColumn="1" w:noHBand="0" w:noVBand="0"/>
      </w:tblPr>
      <w:tblGrid>
        <w:gridCol w:w="9530"/>
      </w:tblGrid>
      <w:tr w:rsidR="00E35587" w:rsidRPr="00E35587" w14:paraId="3098B298" w14:textId="77777777" w:rsidTr="00E264FF">
        <w:trPr>
          <w:trHeight w:val="567"/>
        </w:trPr>
        <w:tc>
          <w:tcPr>
            <w:tcW w:w="9670" w:type="dxa"/>
            <w:tcBorders>
              <w:bottom w:val="single" w:sz="4" w:space="0" w:color="366DB3"/>
            </w:tcBorders>
            <w:vAlign w:val="center"/>
          </w:tcPr>
          <w:p w14:paraId="06E5952E" w14:textId="77777777" w:rsidR="00E35587" w:rsidRPr="00E35587" w:rsidRDefault="00E35587" w:rsidP="00E35587">
            <w:pPr>
              <w:suppressAutoHyphens w:val="0"/>
              <w:spacing w:line="240" w:lineRule="auto"/>
              <w:ind w:leftChars="0" w:left="0" w:right="-30" w:firstLineChars="0" w:firstLine="0"/>
              <w:jc w:val="center"/>
              <w:textAlignment w:val="auto"/>
              <w:outlineLvl w:val="9"/>
              <w:rPr>
                <w:rFonts w:ascii="Arial" w:hAnsi="Arial" w:cs="Arial"/>
                <w:b/>
                <w:bCs/>
                <w:color w:val="366DB3"/>
                <w:position w:val="0"/>
                <w:sz w:val="28"/>
                <w:szCs w:val="28"/>
              </w:rPr>
            </w:pPr>
            <w:r w:rsidRPr="00E35587">
              <w:rPr>
                <w:rFonts w:ascii="Arial" w:hAnsi="Arial" w:cs="Arial"/>
                <w:b/>
                <w:bCs/>
                <w:color w:val="366DB3"/>
                <w:position w:val="0"/>
                <w:sz w:val="28"/>
                <w:szCs w:val="28"/>
              </w:rPr>
              <w:t>PRINCIPALI SCADENZE</w:t>
            </w:r>
          </w:p>
        </w:tc>
      </w:tr>
    </w:tbl>
    <w:p w14:paraId="6D08437D" w14:textId="77777777" w:rsidR="00E35587" w:rsidRPr="001B1FE4" w:rsidRDefault="00E35587" w:rsidP="001B1FE4">
      <w:pPr>
        <w:pBdr>
          <w:top w:val="nil"/>
          <w:left w:val="nil"/>
          <w:bottom w:val="nil"/>
          <w:right w:val="nil"/>
          <w:between w:val="nil"/>
        </w:pBdr>
        <w:spacing w:line="300" w:lineRule="atLeast"/>
        <w:ind w:leftChars="0" w:left="0" w:firstLineChars="0" w:firstLine="0"/>
        <w:jc w:val="both"/>
        <w:rPr>
          <w:rFonts w:ascii="Arial" w:eastAsia="Arial" w:hAnsi="Arial" w:cs="Arial"/>
          <w:color w:val="000000"/>
          <w:sz w:val="20"/>
          <w:szCs w:val="20"/>
        </w:rPr>
      </w:pP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1905"/>
        <w:gridCol w:w="2126"/>
        <w:gridCol w:w="1839"/>
        <w:gridCol w:w="1701"/>
      </w:tblGrid>
      <w:tr w:rsidR="00E35587" w:rsidRPr="007D21BC" w14:paraId="7C26E4AE" w14:textId="77777777" w:rsidTr="00E264FF">
        <w:trPr>
          <w:trHeight w:val="915"/>
          <w:jc w:val="center"/>
        </w:trPr>
        <w:tc>
          <w:tcPr>
            <w:tcW w:w="1779" w:type="dxa"/>
            <w:vAlign w:val="center"/>
          </w:tcPr>
          <w:p w14:paraId="7111FD2E" w14:textId="77777777" w:rsidR="00E35587" w:rsidRPr="007D21BC" w:rsidRDefault="00E35587" w:rsidP="00E264FF">
            <w:pPr>
              <w:overflowPunct w:val="0"/>
              <w:autoSpaceDE w:val="0"/>
              <w:autoSpaceDN w:val="0"/>
              <w:adjustRightInd w:val="0"/>
              <w:spacing w:line="300" w:lineRule="atLeast"/>
              <w:ind w:left="0" w:hanging="2"/>
              <w:jc w:val="center"/>
              <w:textAlignment w:val="baseline"/>
              <w:rPr>
                <w:rFonts w:ascii="Arial" w:hAnsi="Arial" w:cs="Arial"/>
                <w:b/>
                <w:bCs/>
                <w:sz w:val="20"/>
                <w:szCs w:val="20"/>
                <w:lang w:val="en-US"/>
              </w:rPr>
            </w:pPr>
            <w:r w:rsidRPr="007D21BC">
              <w:rPr>
                <w:rFonts w:ascii="Arial" w:hAnsi="Arial" w:cs="Arial"/>
                <w:b/>
                <w:bCs/>
                <w:sz w:val="20"/>
                <w:szCs w:val="20"/>
                <w:lang w:val="en-US"/>
              </w:rPr>
              <w:t>Data scadenza</w:t>
            </w:r>
          </w:p>
        </w:tc>
        <w:tc>
          <w:tcPr>
            <w:tcW w:w="1905" w:type="dxa"/>
            <w:vAlign w:val="center"/>
          </w:tcPr>
          <w:p w14:paraId="5A2AC7C5" w14:textId="77777777" w:rsidR="00E35587" w:rsidRPr="007D21BC" w:rsidRDefault="00E35587" w:rsidP="00E264FF">
            <w:pPr>
              <w:overflowPunct w:val="0"/>
              <w:autoSpaceDE w:val="0"/>
              <w:autoSpaceDN w:val="0"/>
              <w:adjustRightInd w:val="0"/>
              <w:spacing w:line="300" w:lineRule="atLeast"/>
              <w:ind w:left="0" w:hanging="2"/>
              <w:jc w:val="center"/>
              <w:textAlignment w:val="baseline"/>
              <w:rPr>
                <w:rFonts w:ascii="Arial" w:hAnsi="Arial" w:cs="Arial"/>
                <w:b/>
                <w:bCs/>
                <w:sz w:val="20"/>
                <w:szCs w:val="20"/>
                <w:lang w:val="en-US"/>
              </w:rPr>
            </w:pPr>
            <w:r w:rsidRPr="007D21BC">
              <w:rPr>
                <w:rFonts w:ascii="Arial" w:hAnsi="Arial" w:cs="Arial"/>
                <w:b/>
                <w:bCs/>
                <w:sz w:val="20"/>
                <w:szCs w:val="20"/>
                <w:lang w:val="en-US"/>
              </w:rPr>
              <w:t>Ambito</w:t>
            </w:r>
          </w:p>
        </w:tc>
        <w:tc>
          <w:tcPr>
            <w:tcW w:w="2126" w:type="dxa"/>
            <w:vAlign w:val="center"/>
          </w:tcPr>
          <w:p w14:paraId="363EA65C" w14:textId="77777777" w:rsidR="00E35587" w:rsidRPr="007D21BC" w:rsidRDefault="00E35587" w:rsidP="00E264FF">
            <w:pPr>
              <w:overflowPunct w:val="0"/>
              <w:autoSpaceDE w:val="0"/>
              <w:autoSpaceDN w:val="0"/>
              <w:adjustRightInd w:val="0"/>
              <w:spacing w:line="300" w:lineRule="atLeast"/>
              <w:ind w:left="0" w:hanging="2"/>
              <w:jc w:val="center"/>
              <w:textAlignment w:val="baseline"/>
              <w:rPr>
                <w:rFonts w:ascii="Arial" w:hAnsi="Arial" w:cs="Arial"/>
                <w:b/>
                <w:bCs/>
                <w:sz w:val="20"/>
                <w:szCs w:val="20"/>
                <w:lang w:val="en-US"/>
              </w:rPr>
            </w:pPr>
            <w:r w:rsidRPr="007D21BC">
              <w:rPr>
                <w:rFonts w:ascii="Arial" w:hAnsi="Arial" w:cs="Arial"/>
                <w:b/>
                <w:bCs/>
                <w:sz w:val="20"/>
                <w:szCs w:val="20"/>
                <w:lang w:val="en-US"/>
              </w:rPr>
              <w:t>Attività</w:t>
            </w:r>
          </w:p>
        </w:tc>
        <w:tc>
          <w:tcPr>
            <w:tcW w:w="1839" w:type="dxa"/>
            <w:vAlign w:val="center"/>
          </w:tcPr>
          <w:p w14:paraId="1C80F070" w14:textId="77777777" w:rsidR="00E35587" w:rsidRPr="007D21BC" w:rsidRDefault="00E35587" w:rsidP="00E264FF">
            <w:pPr>
              <w:overflowPunct w:val="0"/>
              <w:autoSpaceDE w:val="0"/>
              <w:autoSpaceDN w:val="0"/>
              <w:adjustRightInd w:val="0"/>
              <w:spacing w:line="300" w:lineRule="atLeast"/>
              <w:ind w:left="0" w:hanging="2"/>
              <w:jc w:val="center"/>
              <w:textAlignment w:val="baseline"/>
              <w:rPr>
                <w:rFonts w:ascii="Arial" w:hAnsi="Arial" w:cs="Arial"/>
                <w:b/>
                <w:bCs/>
                <w:sz w:val="20"/>
                <w:szCs w:val="20"/>
                <w:lang w:val="en-US"/>
              </w:rPr>
            </w:pPr>
            <w:r w:rsidRPr="007D21BC">
              <w:rPr>
                <w:rFonts w:ascii="Arial" w:hAnsi="Arial" w:cs="Arial"/>
                <w:b/>
                <w:bCs/>
                <w:sz w:val="20"/>
                <w:szCs w:val="20"/>
                <w:lang w:val="en-US"/>
              </w:rPr>
              <w:t>Soggetti obbligati</w:t>
            </w:r>
          </w:p>
        </w:tc>
        <w:tc>
          <w:tcPr>
            <w:tcW w:w="1701" w:type="dxa"/>
            <w:vAlign w:val="center"/>
          </w:tcPr>
          <w:p w14:paraId="1994CA70" w14:textId="77777777" w:rsidR="00E35587" w:rsidRPr="007D21BC" w:rsidRDefault="00E35587" w:rsidP="00E264FF">
            <w:pPr>
              <w:overflowPunct w:val="0"/>
              <w:autoSpaceDE w:val="0"/>
              <w:autoSpaceDN w:val="0"/>
              <w:adjustRightInd w:val="0"/>
              <w:spacing w:line="300" w:lineRule="atLeast"/>
              <w:ind w:left="0" w:hanging="2"/>
              <w:jc w:val="center"/>
              <w:textAlignment w:val="baseline"/>
              <w:rPr>
                <w:rFonts w:ascii="Arial" w:hAnsi="Arial" w:cs="Arial"/>
                <w:b/>
                <w:bCs/>
                <w:sz w:val="20"/>
                <w:szCs w:val="20"/>
                <w:lang w:val="en-US"/>
              </w:rPr>
            </w:pPr>
            <w:r w:rsidRPr="007D21BC">
              <w:rPr>
                <w:rFonts w:ascii="Arial" w:hAnsi="Arial" w:cs="Arial"/>
                <w:b/>
                <w:bCs/>
                <w:sz w:val="20"/>
                <w:szCs w:val="20"/>
                <w:lang w:val="en-US"/>
              </w:rPr>
              <w:t>Modalità</w:t>
            </w:r>
          </w:p>
        </w:tc>
      </w:tr>
      <w:tr w:rsidR="00E35587" w14:paraId="21ED4F5C" w14:textId="77777777" w:rsidTr="00E264FF">
        <w:trPr>
          <w:trHeight w:val="915"/>
          <w:jc w:val="center"/>
        </w:trPr>
        <w:tc>
          <w:tcPr>
            <w:tcW w:w="1779" w:type="dxa"/>
            <w:tcBorders>
              <w:top w:val="single" w:sz="4" w:space="0" w:color="auto"/>
              <w:left w:val="single" w:sz="4" w:space="0" w:color="auto"/>
              <w:bottom w:val="single" w:sz="4" w:space="0" w:color="auto"/>
              <w:right w:val="single" w:sz="4" w:space="0" w:color="auto"/>
            </w:tcBorders>
          </w:tcPr>
          <w:p w14:paraId="7B1FD7AD" w14:textId="31B69027" w:rsidR="00E35587" w:rsidRDefault="00E35587" w:rsidP="00E264FF">
            <w:pPr>
              <w:spacing w:line="300" w:lineRule="atLeast"/>
              <w:ind w:left="0" w:hanging="2"/>
              <w:rPr>
                <w:rFonts w:ascii="Arial" w:hAnsi="Arial" w:cs="Arial"/>
                <w:b/>
                <w:bCs/>
                <w:sz w:val="20"/>
                <w:szCs w:val="20"/>
              </w:rPr>
            </w:pPr>
            <w:r>
              <w:rPr>
                <w:rFonts w:ascii="Arial" w:hAnsi="Arial" w:cs="Arial"/>
                <w:b/>
                <w:bCs/>
                <w:sz w:val="20"/>
                <w:szCs w:val="20"/>
              </w:rPr>
              <w:t xml:space="preserve">Lunedì </w:t>
            </w:r>
            <w:r w:rsidR="001B1FE4">
              <w:rPr>
                <w:rFonts w:ascii="Arial" w:hAnsi="Arial" w:cs="Arial"/>
                <w:b/>
                <w:bCs/>
                <w:sz w:val="20"/>
                <w:szCs w:val="20"/>
              </w:rPr>
              <w:t>30 novembre</w:t>
            </w:r>
            <w:r>
              <w:rPr>
                <w:rFonts w:ascii="Arial" w:hAnsi="Arial" w:cs="Arial"/>
                <w:b/>
                <w:bCs/>
                <w:sz w:val="20"/>
                <w:szCs w:val="20"/>
              </w:rPr>
              <w:t xml:space="preserve"> 202</w:t>
            </w:r>
            <w:r w:rsidR="001B1FE4">
              <w:rPr>
                <w:rFonts w:ascii="Arial" w:hAnsi="Arial" w:cs="Arial"/>
                <w:b/>
                <w:bCs/>
                <w:sz w:val="20"/>
                <w:szCs w:val="20"/>
              </w:rPr>
              <w:t>6</w:t>
            </w:r>
          </w:p>
        </w:tc>
        <w:tc>
          <w:tcPr>
            <w:tcW w:w="1905" w:type="dxa"/>
            <w:tcBorders>
              <w:top w:val="single" w:sz="4" w:space="0" w:color="auto"/>
              <w:left w:val="single" w:sz="4" w:space="0" w:color="auto"/>
              <w:bottom w:val="single" w:sz="4" w:space="0" w:color="auto"/>
              <w:right w:val="single" w:sz="4" w:space="0" w:color="auto"/>
            </w:tcBorders>
          </w:tcPr>
          <w:p w14:paraId="0FA1FA6B" w14:textId="77777777" w:rsidR="00E35587" w:rsidRDefault="00E35587" w:rsidP="00E264FF">
            <w:pPr>
              <w:spacing w:line="300" w:lineRule="atLeast"/>
              <w:ind w:left="0" w:hanging="2"/>
              <w:rPr>
                <w:rFonts w:ascii="Arial" w:hAnsi="Arial" w:cs="Arial"/>
                <w:b/>
                <w:bCs/>
                <w:sz w:val="20"/>
                <w:szCs w:val="20"/>
              </w:rPr>
            </w:pPr>
            <w:r>
              <w:rPr>
                <w:rFonts w:ascii="Arial" w:hAnsi="Arial" w:cs="Arial"/>
                <w:b/>
                <w:bCs/>
                <w:sz w:val="20"/>
                <w:szCs w:val="20"/>
              </w:rPr>
              <w:t>LIPE</w:t>
            </w:r>
          </w:p>
        </w:tc>
        <w:tc>
          <w:tcPr>
            <w:tcW w:w="2126" w:type="dxa"/>
            <w:tcBorders>
              <w:top w:val="single" w:sz="4" w:space="0" w:color="auto"/>
              <w:left w:val="single" w:sz="4" w:space="0" w:color="auto"/>
              <w:bottom w:val="single" w:sz="4" w:space="0" w:color="auto"/>
              <w:right w:val="single" w:sz="4" w:space="0" w:color="auto"/>
            </w:tcBorders>
          </w:tcPr>
          <w:p w14:paraId="54108401" w14:textId="77777777" w:rsidR="00E35587" w:rsidRPr="007A355D" w:rsidRDefault="00E35587" w:rsidP="00E264FF">
            <w:pPr>
              <w:spacing w:line="300" w:lineRule="atLeast"/>
              <w:ind w:left="0" w:hanging="2"/>
              <w:rPr>
                <w:rFonts w:ascii="Arial" w:hAnsi="Arial" w:cs="Arial"/>
                <w:sz w:val="20"/>
                <w:szCs w:val="20"/>
              </w:rPr>
            </w:pPr>
            <w:r w:rsidRPr="007A355D">
              <w:rPr>
                <w:rFonts w:ascii="Arial" w:hAnsi="Arial" w:cs="Arial"/>
                <w:sz w:val="20"/>
                <w:szCs w:val="20"/>
              </w:rPr>
              <w:t>Termine per la trasmissione telematica all’Agenzia delle Entrate, direttamente o tramite un intermediario abilitato, dei dati delle liquidazioni periodiche IVA relative al III trimestre.</w:t>
            </w:r>
          </w:p>
        </w:tc>
        <w:tc>
          <w:tcPr>
            <w:tcW w:w="1839" w:type="dxa"/>
            <w:tcBorders>
              <w:top w:val="single" w:sz="4" w:space="0" w:color="auto"/>
              <w:left w:val="single" w:sz="4" w:space="0" w:color="auto"/>
              <w:bottom w:val="single" w:sz="4" w:space="0" w:color="auto"/>
              <w:right w:val="single" w:sz="4" w:space="0" w:color="auto"/>
            </w:tcBorders>
          </w:tcPr>
          <w:p w14:paraId="18A50FDB" w14:textId="77777777" w:rsidR="00E35587" w:rsidRDefault="00E35587" w:rsidP="00E264FF">
            <w:pPr>
              <w:spacing w:line="300" w:lineRule="atLeast"/>
              <w:ind w:left="0" w:hanging="2"/>
              <w:rPr>
                <w:rFonts w:ascii="Arial" w:hAnsi="Arial" w:cs="Arial"/>
                <w:sz w:val="20"/>
                <w:szCs w:val="20"/>
              </w:rPr>
            </w:pPr>
            <w:r w:rsidRPr="0030497A">
              <w:rPr>
                <w:rFonts w:ascii="Arial" w:hAnsi="Arial" w:cs="Arial"/>
                <w:sz w:val="20"/>
                <w:szCs w:val="20"/>
              </w:rPr>
              <w:t>Soggetti passivi IVA obbligati alla presentazione della dichiarazione IVA o all’effettuazione delle liquidazioni periodiche IVA.</w:t>
            </w:r>
          </w:p>
        </w:tc>
        <w:tc>
          <w:tcPr>
            <w:tcW w:w="1701" w:type="dxa"/>
            <w:tcBorders>
              <w:top w:val="single" w:sz="4" w:space="0" w:color="auto"/>
              <w:left w:val="single" w:sz="4" w:space="0" w:color="auto"/>
              <w:bottom w:val="single" w:sz="4" w:space="0" w:color="auto"/>
              <w:right w:val="single" w:sz="4" w:space="0" w:color="auto"/>
            </w:tcBorders>
          </w:tcPr>
          <w:p w14:paraId="0F5DF0D8" w14:textId="77777777" w:rsidR="00E35587" w:rsidRDefault="00E35587" w:rsidP="00E264FF">
            <w:pPr>
              <w:spacing w:line="300" w:lineRule="atLeast"/>
              <w:ind w:left="0" w:hanging="2"/>
              <w:rPr>
                <w:rFonts w:ascii="Arial" w:hAnsi="Arial" w:cs="Arial"/>
                <w:sz w:val="20"/>
                <w:szCs w:val="20"/>
              </w:rPr>
            </w:pPr>
            <w:r w:rsidRPr="0030497A">
              <w:rPr>
                <w:rFonts w:ascii="Arial" w:hAnsi="Arial" w:cs="Arial"/>
                <w:sz w:val="20"/>
                <w:szCs w:val="20"/>
              </w:rPr>
              <w:t>Telematica</w:t>
            </w:r>
          </w:p>
        </w:tc>
      </w:tr>
    </w:tbl>
    <w:p w14:paraId="280A3B70" w14:textId="77777777" w:rsidR="00E35587" w:rsidRPr="006E1BBB" w:rsidRDefault="00E35587" w:rsidP="006E1BBB">
      <w:pPr>
        <w:pBdr>
          <w:top w:val="nil"/>
          <w:left w:val="nil"/>
          <w:bottom w:val="nil"/>
          <w:right w:val="nil"/>
          <w:between w:val="nil"/>
        </w:pBdr>
        <w:spacing w:line="300" w:lineRule="atLeast"/>
        <w:ind w:leftChars="0" w:left="0" w:firstLineChars="0" w:firstLine="0"/>
        <w:jc w:val="both"/>
        <w:rPr>
          <w:rFonts w:ascii="Arial" w:eastAsia="Arial" w:hAnsi="Arial" w:cs="Arial"/>
          <w:color w:val="000000"/>
          <w:sz w:val="20"/>
          <w:szCs w:val="20"/>
        </w:rPr>
      </w:pPr>
    </w:p>
    <w:p w14:paraId="2B970850" w14:textId="77777777" w:rsidR="00E35587" w:rsidRPr="006E1BBB" w:rsidRDefault="00E35587" w:rsidP="006E1BBB">
      <w:pPr>
        <w:pBdr>
          <w:top w:val="nil"/>
          <w:left w:val="nil"/>
          <w:bottom w:val="nil"/>
          <w:right w:val="nil"/>
          <w:between w:val="nil"/>
        </w:pBdr>
        <w:spacing w:line="300" w:lineRule="atLeast"/>
        <w:ind w:leftChars="0" w:left="0" w:firstLineChars="0" w:firstLine="0"/>
        <w:jc w:val="both"/>
        <w:rPr>
          <w:rFonts w:ascii="Arial" w:eastAsia="Arial" w:hAnsi="Arial" w:cs="Arial"/>
          <w:color w:val="000000"/>
          <w:sz w:val="20"/>
          <w:szCs w:val="20"/>
        </w:rPr>
      </w:pPr>
    </w:p>
    <w:sectPr w:rsidR="00E35587" w:rsidRPr="006E1BBB">
      <w:headerReference w:type="default" r:id="rId12"/>
      <w:pgSz w:w="11906" w:h="16838"/>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65929" w14:textId="77777777" w:rsidR="00FB0F8B" w:rsidRDefault="00FB0F8B">
      <w:pPr>
        <w:spacing w:line="240" w:lineRule="auto"/>
        <w:ind w:left="0" w:hanging="2"/>
      </w:pPr>
      <w:r>
        <w:separator/>
      </w:r>
    </w:p>
  </w:endnote>
  <w:endnote w:type="continuationSeparator" w:id="0">
    <w:p w14:paraId="16A8D540" w14:textId="77777777" w:rsidR="00FB0F8B" w:rsidRDefault="00FB0F8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Eurostile">
    <w:charset w:val="4D"/>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CEFAA" w14:textId="77777777" w:rsidR="0093709F" w:rsidRDefault="00DB7C5E">
    <w:pPr>
      <w:pBdr>
        <w:top w:val="nil"/>
        <w:left w:val="nil"/>
        <w:bottom w:val="nil"/>
        <w:right w:val="nil"/>
        <w:between w:val="nil"/>
      </w:pBdr>
      <w:tabs>
        <w:tab w:val="center" w:pos="4819"/>
        <w:tab w:val="right" w:pos="9638"/>
      </w:tabs>
      <w:spacing w:line="240" w:lineRule="auto"/>
      <w:ind w:left="0" w:hanging="2"/>
      <w:jc w:val="right"/>
      <w:rPr>
        <w:rFonts w:ascii="Helvetica Neue" w:eastAsia="Helvetica Neue" w:hAnsi="Helvetica Neue" w:cs="Helvetica Neue"/>
        <w:color w:val="C0C0C0"/>
        <w:sz w:val="18"/>
        <w:szCs w:val="18"/>
      </w:rPr>
    </w:pPr>
    <w:r>
      <w:rPr>
        <w:rFonts w:ascii="Helvetica Neue" w:eastAsia="Helvetica Neue" w:hAnsi="Helvetica Neue" w:cs="Helvetica Neue"/>
        <w:color w:val="C0C0C0"/>
        <w:sz w:val="18"/>
        <w:szCs w:val="18"/>
      </w:rPr>
      <w:fldChar w:fldCharType="begin"/>
    </w:r>
    <w:r>
      <w:rPr>
        <w:rFonts w:ascii="Helvetica Neue" w:eastAsia="Helvetica Neue" w:hAnsi="Helvetica Neue" w:cs="Helvetica Neue"/>
        <w:color w:val="C0C0C0"/>
        <w:sz w:val="18"/>
        <w:szCs w:val="18"/>
      </w:rPr>
      <w:instrText>PAGE</w:instrText>
    </w:r>
    <w:r>
      <w:rPr>
        <w:rFonts w:ascii="Helvetica Neue" w:eastAsia="Helvetica Neue" w:hAnsi="Helvetica Neue" w:cs="Helvetica Neue"/>
        <w:color w:val="C0C0C0"/>
        <w:sz w:val="18"/>
        <w:szCs w:val="18"/>
      </w:rPr>
      <w:fldChar w:fldCharType="separate"/>
    </w:r>
    <w:r>
      <w:rPr>
        <w:rFonts w:ascii="Helvetica Neue" w:eastAsia="Helvetica Neue" w:hAnsi="Helvetica Neue" w:cs="Helvetica Neue"/>
        <w:color w:val="C0C0C0"/>
        <w:sz w:val="18"/>
        <w:szCs w:val="18"/>
      </w:rPr>
      <w:fldChar w:fldCharType="end"/>
    </w:r>
  </w:p>
  <w:p w14:paraId="00A321F5" w14:textId="77777777" w:rsidR="0093709F" w:rsidRDefault="0093709F">
    <w:pPr>
      <w:pBdr>
        <w:top w:val="nil"/>
        <w:left w:val="nil"/>
        <w:bottom w:val="nil"/>
        <w:right w:val="nil"/>
        <w:between w:val="nil"/>
      </w:pBdr>
      <w:tabs>
        <w:tab w:val="center" w:pos="4819"/>
        <w:tab w:val="right" w:pos="9638"/>
      </w:tabs>
      <w:spacing w:line="240" w:lineRule="auto"/>
      <w:ind w:left="0" w:right="360" w:hanging="2"/>
      <w:rPr>
        <w:rFonts w:ascii="Helvetica Neue" w:eastAsia="Helvetica Neue" w:hAnsi="Helvetica Neue" w:cs="Helvetica Neue"/>
        <w:color w:val="C0C0C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62AC8" w14:textId="77777777" w:rsidR="0093709F" w:rsidRDefault="00DB7C5E">
    <w:pPr>
      <w:pBdr>
        <w:top w:val="nil"/>
        <w:left w:val="nil"/>
        <w:bottom w:val="nil"/>
        <w:right w:val="nil"/>
        <w:between w:val="nil"/>
      </w:pBdr>
      <w:tabs>
        <w:tab w:val="center" w:pos="4819"/>
        <w:tab w:val="right" w:pos="9638"/>
      </w:tabs>
      <w:spacing w:before="380" w:line="240" w:lineRule="auto"/>
      <w:ind w:left="0" w:hanging="2"/>
      <w:jc w:val="right"/>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fldChar w:fldCharType="begin"/>
    </w:r>
    <w:r>
      <w:rPr>
        <w:rFonts w:ascii="Helvetica Neue" w:eastAsia="Helvetica Neue" w:hAnsi="Helvetica Neue" w:cs="Helvetica Neue"/>
        <w:color w:val="000000"/>
        <w:sz w:val="18"/>
        <w:szCs w:val="18"/>
      </w:rPr>
      <w:instrText>PAGE</w:instrText>
    </w:r>
    <w:r>
      <w:rPr>
        <w:rFonts w:ascii="Helvetica Neue" w:eastAsia="Helvetica Neue" w:hAnsi="Helvetica Neue" w:cs="Helvetica Neue"/>
        <w:color w:val="000000"/>
        <w:sz w:val="18"/>
        <w:szCs w:val="18"/>
      </w:rPr>
      <w:fldChar w:fldCharType="separate"/>
    </w:r>
    <w:r w:rsidR="00F21EB4">
      <w:rPr>
        <w:rFonts w:ascii="Helvetica Neue" w:eastAsia="Helvetica Neue" w:hAnsi="Helvetica Neue" w:cs="Helvetica Neue"/>
        <w:noProof/>
        <w:color w:val="000000"/>
        <w:sz w:val="18"/>
        <w:szCs w:val="18"/>
      </w:rPr>
      <w:t>1</w:t>
    </w:r>
    <w:r>
      <w:rPr>
        <w:rFonts w:ascii="Helvetica Neue" w:eastAsia="Helvetica Neue" w:hAnsi="Helvetica Neue" w:cs="Helvetica Neue"/>
        <w:color w:val="000000"/>
        <w:sz w:val="18"/>
        <w:szCs w:val="18"/>
      </w:rPr>
      <w:fldChar w:fldCharType="end"/>
    </w:r>
  </w:p>
  <w:p w14:paraId="7F242384" w14:textId="77777777" w:rsidR="0093709F" w:rsidRDefault="00DB7C5E">
    <w:pPr>
      <w:pBdr>
        <w:top w:val="nil"/>
        <w:left w:val="nil"/>
        <w:bottom w:val="nil"/>
        <w:right w:val="nil"/>
        <w:between w:val="nil"/>
      </w:pBdr>
      <w:tabs>
        <w:tab w:val="center" w:pos="4819"/>
        <w:tab w:val="right" w:pos="9638"/>
      </w:tabs>
      <w:spacing w:line="240" w:lineRule="auto"/>
      <w:ind w:left="0" w:right="360" w:hanging="2"/>
      <w:rPr>
        <w:rFonts w:ascii="Helvetica Neue" w:eastAsia="Helvetica Neue" w:hAnsi="Helvetica Neue" w:cs="Helvetica Neue"/>
        <w:color w:val="C0C0C0"/>
        <w:sz w:val="16"/>
        <w:szCs w:val="16"/>
      </w:rPr>
    </w:pPr>
    <w:r>
      <w:rPr>
        <w:rFonts w:ascii="Helvetica Neue" w:eastAsia="Helvetica Neue" w:hAnsi="Helvetica Neue" w:cs="Helvetica Neue"/>
        <w:noProof/>
        <w:color w:val="C0C0C0"/>
        <w:sz w:val="16"/>
        <w:szCs w:val="16"/>
      </w:rPr>
      <w:drawing>
        <wp:inline distT="0" distB="0" distL="114300" distR="114300" wp14:anchorId="78D65534" wp14:editId="518FB070">
          <wp:extent cx="2476500" cy="44450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76500" cy="44450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3FC80" w14:textId="77777777" w:rsidR="00FB0F8B" w:rsidRDefault="00FB0F8B">
      <w:pPr>
        <w:spacing w:line="240" w:lineRule="auto"/>
        <w:ind w:left="0" w:hanging="2"/>
      </w:pPr>
      <w:r>
        <w:separator/>
      </w:r>
    </w:p>
  </w:footnote>
  <w:footnote w:type="continuationSeparator" w:id="0">
    <w:p w14:paraId="4B1C6885" w14:textId="77777777" w:rsidR="00FB0F8B" w:rsidRDefault="00FB0F8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4D6F" w14:textId="77777777" w:rsidR="0093709F" w:rsidRDefault="00DB7C5E">
    <w:pPr>
      <w:pBdr>
        <w:top w:val="nil"/>
        <w:left w:val="nil"/>
        <w:bottom w:val="nil"/>
        <w:right w:val="nil"/>
        <w:between w:val="nil"/>
      </w:pBdr>
      <w:tabs>
        <w:tab w:val="center" w:pos="4819"/>
        <w:tab w:val="right" w:pos="9638"/>
      </w:tabs>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[inserire logo e/o intestazione dello studio]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2C6AD" w14:textId="77777777" w:rsidR="0093709F" w:rsidRDefault="0093709F">
    <w:pPr>
      <w:pBdr>
        <w:top w:val="nil"/>
        <w:left w:val="nil"/>
        <w:bottom w:val="nil"/>
        <w:right w:val="nil"/>
        <w:between w:val="nil"/>
      </w:pBdr>
      <w:tabs>
        <w:tab w:val="center" w:pos="4819"/>
        <w:tab w:val="right" w:pos="9638"/>
      </w:tabs>
      <w:spacing w:line="240" w:lineRule="auto"/>
      <w:ind w:left="0" w:hanging="2"/>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A6FBE"/>
    <w:multiLevelType w:val="multilevel"/>
    <w:tmpl w:val="32728CDA"/>
    <w:lvl w:ilvl="0">
      <w:start w:val="1"/>
      <w:numFmt w:val="bullet"/>
      <w:pStyle w:val="elencopuntato2"/>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15:restartNumberingAfterBreak="0">
    <w:nsid w:val="10512469"/>
    <w:multiLevelType w:val="hybridMultilevel"/>
    <w:tmpl w:val="34E0FA0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12149F7"/>
    <w:multiLevelType w:val="hybridMultilevel"/>
    <w:tmpl w:val="B4B29EF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B6F3546"/>
    <w:multiLevelType w:val="hybridMultilevel"/>
    <w:tmpl w:val="F7E4A36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1190593"/>
    <w:multiLevelType w:val="multilevel"/>
    <w:tmpl w:val="294A4F9C"/>
    <w:lvl w:ilvl="0">
      <w:start w:val="1"/>
      <w:numFmt w:val="bullet"/>
      <w:pStyle w:val="elencopuntato1"/>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5" w15:restartNumberingAfterBreak="0">
    <w:nsid w:val="245F0D08"/>
    <w:multiLevelType w:val="hybridMultilevel"/>
    <w:tmpl w:val="5CE2E0B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DB82876"/>
    <w:multiLevelType w:val="hybridMultilevel"/>
    <w:tmpl w:val="EFF4F3B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3AD312F"/>
    <w:multiLevelType w:val="hybridMultilevel"/>
    <w:tmpl w:val="2652A31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A8670F2"/>
    <w:multiLevelType w:val="hybridMultilevel"/>
    <w:tmpl w:val="A4DE894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472C292C"/>
    <w:multiLevelType w:val="hybridMultilevel"/>
    <w:tmpl w:val="8BF0DC9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5C3D5204"/>
    <w:multiLevelType w:val="hybridMultilevel"/>
    <w:tmpl w:val="52C8471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6C041258"/>
    <w:multiLevelType w:val="hybridMultilevel"/>
    <w:tmpl w:val="C9EAB39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546336663">
    <w:abstractNumId w:val="4"/>
  </w:num>
  <w:num w:numId="2" w16cid:durableId="1171678865">
    <w:abstractNumId w:val="0"/>
  </w:num>
  <w:num w:numId="3" w16cid:durableId="88357989">
    <w:abstractNumId w:val="8"/>
  </w:num>
  <w:num w:numId="4" w16cid:durableId="1757895023">
    <w:abstractNumId w:val="7"/>
  </w:num>
  <w:num w:numId="5" w16cid:durableId="120072385">
    <w:abstractNumId w:val="6"/>
  </w:num>
  <w:num w:numId="6" w16cid:durableId="396904261">
    <w:abstractNumId w:val="11"/>
  </w:num>
  <w:num w:numId="7" w16cid:durableId="1945577456">
    <w:abstractNumId w:val="10"/>
  </w:num>
  <w:num w:numId="8" w16cid:durableId="1099256991">
    <w:abstractNumId w:val="5"/>
  </w:num>
  <w:num w:numId="9" w16cid:durableId="784038166">
    <w:abstractNumId w:val="1"/>
  </w:num>
  <w:num w:numId="10" w16cid:durableId="823082421">
    <w:abstractNumId w:val="2"/>
  </w:num>
  <w:num w:numId="11" w16cid:durableId="541984828">
    <w:abstractNumId w:val="3"/>
  </w:num>
  <w:num w:numId="12" w16cid:durableId="1876654406">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09F"/>
    <w:rsid w:val="00046476"/>
    <w:rsid w:val="0005093D"/>
    <w:rsid w:val="00064DD8"/>
    <w:rsid w:val="00085C3A"/>
    <w:rsid w:val="00100FD3"/>
    <w:rsid w:val="00111213"/>
    <w:rsid w:val="00131D82"/>
    <w:rsid w:val="00157301"/>
    <w:rsid w:val="00184FF0"/>
    <w:rsid w:val="001B1FE4"/>
    <w:rsid w:val="001C16EB"/>
    <w:rsid w:val="001D33EF"/>
    <w:rsid w:val="00206D4D"/>
    <w:rsid w:val="002142DF"/>
    <w:rsid w:val="00255441"/>
    <w:rsid w:val="002804BA"/>
    <w:rsid w:val="00294B08"/>
    <w:rsid w:val="002D4F89"/>
    <w:rsid w:val="002E11D4"/>
    <w:rsid w:val="00335D43"/>
    <w:rsid w:val="00374496"/>
    <w:rsid w:val="0038099C"/>
    <w:rsid w:val="003C20E2"/>
    <w:rsid w:val="003D4BD1"/>
    <w:rsid w:val="003F346D"/>
    <w:rsid w:val="00465C43"/>
    <w:rsid w:val="004A21ED"/>
    <w:rsid w:val="004C604D"/>
    <w:rsid w:val="004D79B7"/>
    <w:rsid w:val="00533E21"/>
    <w:rsid w:val="0054138C"/>
    <w:rsid w:val="005477A7"/>
    <w:rsid w:val="005C2D07"/>
    <w:rsid w:val="005C3EF3"/>
    <w:rsid w:val="005D0234"/>
    <w:rsid w:val="005E69C5"/>
    <w:rsid w:val="006122AC"/>
    <w:rsid w:val="0062054F"/>
    <w:rsid w:val="00631557"/>
    <w:rsid w:val="00632F03"/>
    <w:rsid w:val="006577E7"/>
    <w:rsid w:val="00665FFF"/>
    <w:rsid w:val="0069644E"/>
    <w:rsid w:val="006A72D7"/>
    <w:rsid w:val="006E1BBB"/>
    <w:rsid w:val="0075278C"/>
    <w:rsid w:val="007C2D2D"/>
    <w:rsid w:val="007C6E12"/>
    <w:rsid w:val="007E6541"/>
    <w:rsid w:val="007F1556"/>
    <w:rsid w:val="00816823"/>
    <w:rsid w:val="00865D0B"/>
    <w:rsid w:val="00896AE9"/>
    <w:rsid w:val="00897E44"/>
    <w:rsid w:val="008A55CE"/>
    <w:rsid w:val="008C7273"/>
    <w:rsid w:val="00911AD5"/>
    <w:rsid w:val="0093709F"/>
    <w:rsid w:val="00944B25"/>
    <w:rsid w:val="009B5938"/>
    <w:rsid w:val="00A1144E"/>
    <w:rsid w:val="00A3369C"/>
    <w:rsid w:val="00A43B9E"/>
    <w:rsid w:val="00A66637"/>
    <w:rsid w:val="00A83360"/>
    <w:rsid w:val="00A840FF"/>
    <w:rsid w:val="00A87855"/>
    <w:rsid w:val="00AA136D"/>
    <w:rsid w:val="00AE2F3A"/>
    <w:rsid w:val="00B15FDD"/>
    <w:rsid w:val="00B52BCE"/>
    <w:rsid w:val="00B7789C"/>
    <w:rsid w:val="00BA6C02"/>
    <w:rsid w:val="00BD2EDF"/>
    <w:rsid w:val="00BD744A"/>
    <w:rsid w:val="00C02D9F"/>
    <w:rsid w:val="00C31484"/>
    <w:rsid w:val="00C31C5C"/>
    <w:rsid w:val="00C766F7"/>
    <w:rsid w:val="00C77B5B"/>
    <w:rsid w:val="00CD1D35"/>
    <w:rsid w:val="00CE5C0C"/>
    <w:rsid w:val="00D40896"/>
    <w:rsid w:val="00D55F12"/>
    <w:rsid w:val="00D85442"/>
    <w:rsid w:val="00D9546E"/>
    <w:rsid w:val="00DA1FC9"/>
    <w:rsid w:val="00DA2574"/>
    <w:rsid w:val="00DB7C5E"/>
    <w:rsid w:val="00DD09C3"/>
    <w:rsid w:val="00DD1E32"/>
    <w:rsid w:val="00DF2AA5"/>
    <w:rsid w:val="00E02368"/>
    <w:rsid w:val="00E038F5"/>
    <w:rsid w:val="00E35587"/>
    <w:rsid w:val="00E478C0"/>
    <w:rsid w:val="00E57228"/>
    <w:rsid w:val="00E6410D"/>
    <w:rsid w:val="00EA300A"/>
    <w:rsid w:val="00EE0D15"/>
    <w:rsid w:val="00EE61B7"/>
    <w:rsid w:val="00F11A51"/>
    <w:rsid w:val="00F21EB4"/>
    <w:rsid w:val="00F32C55"/>
    <w:rsid w:val="00F359AC"/>
    <w:rsid w:val="00F42277"/>
    <w:rsid w:val="00FB0F8B"/>
    <w:rsid w:val="00FE4A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F413F"/>
  <w15:docId w15:val="{E935C478-90C1-7946-ACE1-9D94EB441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hanging="1"/>
      <w:textDirection w:val="btLr"/>
      <w:textAlignment w:val="top"/>
      <w:outlineLvl w:val="0"/>
    </w:pPr>
    <w:rPr>
      <w:position w:val="-1"/>
      <w:sz w:val="24"/>
      <w:szCs w:val="24"/>
    </w:rPr>
  </w:style>
  <w:style w:type="paragraph" w:styleId="Titolo1">
    <w:name w:val="heading 1"/>
    <w:basedOn w:val="Normale"/>
    <w:next w:val="Normale"/>
    <w:uiPriority w:val="9"/>
    <w:qFormat/>
    <w:pPr>
      <w:keepNext/>
      <w:spacing w:before="240" w:after="60"/>
    </w:pPr>
    <w:rPr>
      <w:rFonts w:ascii="Arial" w:hAnsi="Arial" w:cs="Arial"/>
      <w:b/>
      <w:bCs/>
      <w:kern w:val="32"/>
      <w:sz w:val="32"/>
      <w:szCs w:val="32"/>
    </w:rPr>
  </w:style>
  <w:style w:type="paragraph" w:styleId="Titolo2">
    <w:name w:val="heading 2"/>
    <w:basedOn w:val="Normale"/>
    <w:next w:val="Normale"/>
    <w:uiPriority w:val="9"/>
    <w:unhideWhenUsed/>
    <w:qFormat/>
    <w:pPr>
      <w:keepNext/>
      <w:spacing w:before="240" w:after="60"/>
      <w:outlineLvl w:val="1"/>
    </w:pPr>
    <w:rPr>
      <w:rFonts w:ascii="Arial" w:hAnsi="Arial" w:cs="Arial"/>
      <w:b/>
      <w:bCs/>
      <w:i/>
      <w:iCs/>
      <w:sz w:val="28"/>
      <w:szCs w:val="28"/>
    </w:rPr>
  </w:style>
  <w:style w:type="paragraph" w:styleId="Titolo3">
    <w:name w:val="heading 3"/>
    <w:basedOn w:val="Normale"/>
    <w:next w:val="Normale"/>
    <w:uiPriority w:val="9"/>
    <w:semiHidden/>
    <w:unhideWhenUsed/>
    <w:qFormat/>
    <w:pPr>
      <w:keepNext/>
      <w:spacing w:before="240" w:after="60"/>
      <w:outlineLvl w:val="2"/>
    </w:pPr>
    <w:rPr>
      <w:rFonts w:ascii="Arial" w:hAnsi="Arial" w:cs="Arial"/>
      <w:b/>
      <w:bCs/>
      <w:sz w:val="26"/>
      <w:szCs w:val="26"/>
    </w:rPr>
  </w:style>
  <w:style w:type="paragraph" w:styleId="Titolo4">
    <w:name w:val="heading 4"/>
    <w:basedOn w:val="Normale"/>
    <w:next w:val="Normale"/>
    <w:uiPriority w:val="9"/>
    <w:semiHidden/>
    <w:unhideWhenUsed/>
    <w:qFormat/>
    <w:pPr>
      <w:keepNext/>
      <w:spacing w:before="240" w:after="60"/>
      <w:outlineLvl w:val="3"/>
    </w:pPr>
    <w:rPr>
      <w:b/>
      <w:bCs/>
      <w:sz w:val="28"/>
      <w:szCs w:val="28"/>
    </w:rPr>
  </w:style>
  <w:style w:type="paragraph" w:styleId="Titolo5">
    <w:name w:val="heading 5"/>
    <w:basedOn w:val="Normale"/>
    <w:next w:val="Normale"/>
    <w:uiPriority w:val="9"/>
    <w:semiHidden/>
    <w:unhideWhenUsed/>
    <w:qFormat/>
    <w:p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pPr>
      <w:spacing w:before="240" w:after="60"/>
      <w:outlineLvl w:val="5"/>
    </w:pPr>
    <w:rPr>
      <w:rFonts w:ascii="Calibri" w:hAnsi="Calibri"/>
      <w:b/>
      <w:bCs/>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customStyle="1" w:styleId="chiusura">
    <w:name w:val="chiusura"/>
    <w:basedOn w:val="Titolo4"/>
    <w:pPr>
      <w:spacing w:before="0" w:after="0"/>
    </w:pPr>
    <w:rPr>
      <w:rFonts w:ascii="Helvetica" w:hAnsi="Helvetica" w:cs="Helvetica"/>
      <w:i/>
      <w:iCs/>
      <w:sz w:val="16"/>
      <w:szCs w:val="24"/>
    </w:rPr>
  </w:style>
  <w:style w:type="character" w:styleId="Collegamentoipertestuale">
    <w:name w:val="Hyperlink"/>
    <w:uiPriority w:val="99"/>
    <w:rPr>
      <w:color w:val="0000FF"/>
      <w:w w:val="100"/>
      <w:position w:val="-1"/>
      <w:u w:val="single"/>
      <w:effect w:val="none"/>
      <w:vertAlign w:val="baseline"/>
      <w:cs w:val="0"/>
      <w:em w:val="none"/>
    </w:rPr>
  </w:style>
  <w:style w:type="paragraph" w:styleId="Corpotesto">
    <w:name w:val="Body Text"/>
    <w:basedOn w:val="Normale"/>
    <w:pPr>
      <w:spacing w:after="120" w:line="360" w:lineRule="auto"/>
      <w:jc w:val="both"/>
    </w:pPr>
    <w:rPr>
      <w:rFonts w:ascii="Helvetica" w:hAnsi="Helvetica"/>
      <w:sz w:val="20"/>
    </w:rPr>
  </w:style>
  <w:style w:type="paragraph" w:customStyle="1" w:styleId="datapubblicazione">
    <w:name w:val="data pubblicazione"/>
    <w:basedOn w:val="Normale"/>
    <w:pPr>
      <w:ind w:left="4111"/>
    </w:pPr>
    <w:rPr>
      <w:rFonts w:ascii="Helvetica" w:hAnsi="Helvetica"/>
      <w:color w:val="000000"/>
      <w:w w:val="95"/>
    </w:rPr>
  </w:style>
  <w:style w:type="paragraph" w:customStyle="1" w:styleId="Dirittiriservati">
    <w:name w:val="Diritti riservati"/>
    <w:basedOn w:val="Normale"/>
    <w:pPr>
      <w:jc w:val="both"/>
    </w:pPr>
    <w:rPr>
      <w:rFonts w:ascii="Helvetica" w:hAnsi="Helvetica"/>
      <w:color w:val="808080"/>
      <w:sz w:val="16"/>
    </w:rPr>
  </w:style>
  <w:style w:type="paragraph" w:customStyle="1" w:styleId="disclaimer">
    <w:name w:val="disclaimer"/>
    <w:basedOn w:val="Corpotesto"/>
    <w:pPr>
      <w:spacing w:after="0" w:line="240" w:lineRule="auto"/>
    </w:pPr>
    <w:rPr>
      <w:sz w:val="16"/>
    </w:rPr>
  </w:style>
  <w:style w:type="paragraph" w:customStyle="1" w:styleId="elencopuntato1">
    <w:name w:val="elenco puntato1"/>
    <w:basedOn w:val="Corpotesto"/>
    <w:pPr>
      <w:numPr>
        <w:numId w:val="1"/>
      </w:numPr>
      <w:ind w:left="-1" w:hanging="1"/>
    </w:pPr>
  </w:style>
  <w:style w:type="paragraph" w:customStyle="1" w:styleId="elencopuntato2">
    <w:name w:val="elenco puntato2"/>
    <w:basedOn w:val="Corpotesto"/>
    <w:pPr>
      <w:numPr>
        <w:numId w:val="2"/>
      </w:numPr>
      <w:ind w:left="-1" w:hanging="1"/>
    </w:pPr>
  </w:style>
  <w:style w:type="paragraph" w:styleId="Indice1">
    <w:name w:val="index 1"/>
    <w:basedOn w:val="Normale"/>
    <w:next w:val="Normale"/>
    <w:pPr>
      <w:spacing w:after="120" w:line="312" w:lineRule="auto"/>
      <w:ind w:left="4111"/>
    </w:pPr>
    <w:rPr>
      <w:rFonts w:ascii="Helvetica" w:hAnsi="Helvetica"/>
      <w:noProof/>
      <w:color w:val="808080"/>
      <w:sz w:val="28"/>
    </w:rPr>
  </w:style>
  <w:style w:type="paragraph" w:customStyle="1" w:styleId="indirizzowww">
    <w:name w:val="indirizzo www"/>
    <w:basedOn w:val="datapubblicazione"/>
    <w:rPr>
      <w:color w:val="C0C0C0"/>
    </w:rPr>
  </w:style>
  <w:style w:type="paragraph" w:styleId="Intestazione">
    <w:name w:val="header"/>
    <w:basedOn w:val="Normale"/>
    <w:pPr>
      <w:tabs>
        <w:tab w:val="center" w:pos="4819"/>
        <w:tab w:val="right" w:pos="9638"/>
      </w:tabs>
    </w:pPr>
  </w:style>
  <w:style w:type="paragraph" w:customStyle="1" w:styleId="redattore">
    <w:name w:val="redattore"/>
    <w:basedOn w:val="Normale"/>
    <w:pPr>
      <w:jc w:val="center"/>
    </w:pPr>
    <w:rPr>
      <w:rFonts w:ascii="Helvetica" w:hAnsi="Helvetica"/>
      <w:i/>
      <w:sz w:val="20"/>
    </w:rPr>
  </w:style>
  <w:style w:type="paragraph" w:customStyle="1" w:styleId="marginiredattore">
    <w:name w:val="marginiredattore"/>
    <w:basedOn w:val="redattore"/>
    <w:rPr>
      <w:color w:val="333399"/>
      <w:sz w:val="24"/>
    </w:rPr>
  </w:style>
  <w:style w:type="character" w:styleId="Numeropagina">
    <w:name w:val="page number"/>
    <w:rPr>
      <w:rFonts w:ascii="Helvetica" w:hAnsi="Helvetica" w:cs="Times New Roman"/>
      <w:color w:val="C0C0C0"/>
      <w:w w:val="100"/>
      <w:position w:val="-1"/>
      <w:sz w:val="18"/>
      <w:effect w:val="none"/>
      <w:vertAlign w:val="baseline"/>
      <w:cs w:val="0"/>
      <w:em w:val="none"/>
    </w:rPr>
  </w:style>
  <w:style w:type="paragraph" w:styleId="Pidipagina">
    <w:name w:val="footer"/>
    <w:basedOn w:val="Normale"/>
    <w:pPr>
      <w:tabs>
        <w:tab w:val="center" w:pos="4819"/>
        <w:tab w:val="right" w:pos="9638"/>
      </w:tabs>
      <w:ind w:left="4139"/>
    </w:pPr>
    <w:rPr>
      <w:rFonts w:ascii="Helvetica" w:hAnsi="Helvetica"/>
      <w:color w:val="C0C0C0"/>
      <w:sz w:val="16"/>
    </w:rPr>
  </w:style>
  <w:style w:type="paragraph" w:customStyle="1" w:styleId="Pidipaginasezionecontenuti">
    <w:name w:val="Piè di pagina sezione contenuti"/>
    <w:basedOn w:val="Pidipagina"/>
    <w:pPr>
      <w:ind w:left="2268"/>
    </w:pPr>
  </w:style>
  <w:style w:type="paragraph" w:customStyle="1" w:styleId="redatto">
    <w:name w:val="redatto"/>
    <w:basedOn w:val="Normale"/>
    <w:pPr>
      <w:ind w:left="4111"/>
    </w:pPr>
    <w:rPr>
      <w:rFonts w:ascii="Helvetica" w:hAnsi="Helvetica"/>
      <w:color w:val="808080"/>
    </w:rPr>
  </w:style>
  <w:style w:type="paragraph" w:customStyle="1" w:styleId="titolodocumento">
    <w:name w:val="titolo documento"/>
    <w:basedOn w:val="Normale"/>
    <w:pPr>
      <w:ind w:right="-30"/>
      <w:jc w:val="center"/>
    </w:pPr>
    <w:rPr>
      <w:rFonts w:ascii="Georgia" w:hAnsi="Georgia"/>
      <w:b/>
      <w:bCs/>
      <w:imprint/>
      <w:color w:val="000099"/>
      <w:sz w:val="40"/>
      <w:szCs w:val="28"/>
    </w:rPr>
  </w:style>
  <w:style w:type="paragraph" w:styleId="Titoloindice">
    <w:name w:val="index heading"/>
    <w:basedOn w:val="Normale"/>
    <w:next w:val="Indice1"/>
  </w:style>
  <w:style w:type="paragraph" w:customStyle="1" w:styleId="titolo10">
    <w:name w:val="titolo1"/>
    <w:basedOn w:val="Titolo1"/>
    <w:rPr>
      <w:rFonts w:ascii="Bookman Old Style" w:hAnsi="Bookman Old Style" w:cs="Times New Roman"/>
      <w:color w:val="000099"/>
      <w:kern w:val="28"/>
      <w:sz w:val="28"/>
      <w:szCs w:val="24"/>
    </w:rPr>
  </w:style>
  <w:style w:type="paragraph" w:customStyle="1" w:styleId="titolo20">
    <w:name w:val="titolo2"/>
    <w:basedOn w:val="Titolo2"/>
    <w:rPr>
      <w:rFonts w:ascii="Bookman Old Style" w:hAnsi="Bookman Old Style" w:cs="Times New Roman"/>
      <w:bCs w:val="0"/>
      <w:iCs w:val="0"/>
      <w:color w:val="000099"/>
      <w:sz w:val="22"/>
      <w:szCs w:val="24"/>
    </w:rPr>
  </w:style>
  <w:style w:type="paragraph" w:customStyle="1" w:styleId="titolo30">
    <w:name w:val="titolo3"/>
    <w:basedOn w:val="Titolo3"/>
    <w:rPr>
      <w:rFonts w:ascii="Bookman Old Style" w:hAnsi="Bookman Old Style" w:cs="Times New Roman"/>
      <w:b w:val="0"/>
      <w:bCs w:val="0"/>
      <w:i/>
      <w:iCs/>
      <w:color w:val="000099"/>
      <w:sz w:val="22"/>
      <w:szCs w:val="24"/>
    </w:rPr>
  </w:style>
  <w:style w:type="paragraph" w:customStyle="1" w:styleId="abstract">
    <w:name w:val="abstract"/>
    <w:basedOn w:val="Normale"/>
    <w:pPr>
      <w:ind w:right="-30"/>
      <w:jc w:val="center"/>
    </w:pPr>
    <w:rPr>
      <w:rFonts w:ascii="Helvetica" w:hAnsi="Helvetica"/>
      <w:b/>
      <w:bCs/>
      <w:i/>
      <w:iCs/>
      <w:sz w:val="20"/>
      <w:szCs w:val="28"/>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rPr>
      <w:rFonts w:ascii="Helvetica" w:hAnsi="Helvetica"/>
      <w:w w:val="100"/>
      <w:position w:val="-1"/>
      <w:szCs w:val="24"/>
      <w:effect w:val="none"/>
      <w:vertAlign w:val="baseline"/>
      <w:cs w:val="0"/>
      <w:em w:val="none"/>
      <w:lang w:val="it-IT" w:eastAsia="it-IT" w:bidi="ar-SA"/>
    </w:rPr>
  </w:style>
  <w:style w:type="character" w:customStyle="1" w:styleId="elencopuntato1Carattere">
    <w:name w:val="elenco puntato1 Carattere"/>
    <w:basedOn w:val="CorpotestoCarattere"/>
    <w:rPr>
      <w:rFonts w:ascii="Helvetica" w:hAnsi="Helvetica"/>
      <w:w w:val="100"/>
      <w:position w:val="-1"/>
      <w:szCs w:val="24"/>
      <w:effect w:val="none"/>
      <w:vertAlign w:val="baseline"/>
      <w:cs w:val="0"/>
      <w:em w:val="none"/>
      <w:lang w:val="it-IT" w:eastAsia="it-IT" w:bidi="ar-SA"/>
    </w:rPr>
  </w:style>
  <w:style w:type="character" w:customStyle="1" w:styleId="elencopuntato2Carattere">
    <w:name w:val="elenco puntato2 Carattere"/>
    <w:basedOn w:val="CorpotestoCarattere"/>
    <w:rPr>
      <w:rFonts w:ascii="Helvetica" w:hAnsi="Helvetica"/>
      <w:w w:val="100"/>
      <w:position w:val="-1"/>
      <w:szCs w:val="24"/>
      <w:effect w:val="none"/>
      <w:vertAlign w:val="baseline"/>
      <w:cs w:val="0"/>
      <w:em w:val="none"/>
      <w:lang w:val="it-IT" w:eastAsia="it-IT" w:bidi="ar-SA"/>
    </w:rPr>
  </w:style>
  <w:style w:type="paragraph" w:customStyle="1" w:styleId="hTestoTabella">
    <w:name w:val="h) Testo Tabella"/>
    <w:basedOn w:val="Normale"/>
    <w:pPr>
      <w:widowControl w:val="0"/>
      <w:autoSpaceDE w:val="0"/>
      <w:autoSpaceDN w:val="0"/>
      <w:adjustRightInd w:val="0"/>
      <w:spacing w:line="258" w:lineRule="atLeast"/>
      <w:jc w:val="both"/>
      <w:textAlignment w:val="center"/>
    </w:pPr>
    <w:rPr>
      <w:rFonts w:ascii="Eurostile" w:hAnsi="Eurostile"/>
      <w:color w:val="000000"/>
      <w:sz w:val="20"/>
      <w:szCs w:val="20"/>
    </w:rPr>
  </w:style>
  <w:style w:type="paragraph" w:styleId="Testonormale">
    <w:name w:val="Plain Text"/>
    <w:basedOn w:val="Normale"/>
    <w:rPr>
      <w:rFonts w:ascii="Courier New" w:hAnsi="Courier New" w:cs="Courier New"/>
      <w:sz w:val="20"/>
      <w:szCs w:val="20"/>
    </w:rPr>
  </w:style>
  <w:style w:type="character" w:customStyle="1" w:styleId="apple-converted-space">
    <w:name w:val="apple-converted-space"/>
    <w:basedOn w:val="Carpredefinitoparagrafo"/>
    <w:rPr>
      <w:w w:val="100"/>
      <w:position w:val="-1"/>
      <w:effect w:val="none"/>
      <w:vertAlign w:val="baseline"/>
      <w:cs w:val="0"/>
      <w:em w:val="none"/>
    </w:rPr>
  </w:style>
  <w:style w:type="paragraph" w:styleId="NormaleWeb">
    <w:name w:val="Normal (Web)"/>
    <w:basedOn w:val="Normale"/>
    <w:uiPriority w:val="99"/>
    <w:pPr>
      <w:spacing w:before="100" w:beforeAutospacing="1" w:after="100" w:afterAutospacing="1"/>
    </w:pPr>
  </w:style>
  <w:style w:type="character" w:styleId="Enfasicorsivo">
    <w:name w:val="Emphasis"/>
    <w:uiPriority w:val="20"/>
    <w:qFormat/>
    <w:rPr>
      <w:i/>
      <w:iCs/>
      <w:w w:val="100"/>
      <w:position w:val="-1"/>
      <w:effect w:val="none"/>
      <w:vertAlign w:val="baseline"/>
      <w:cs w:val="0"/>
      <w:em w:val="none"/>
    </w:rPr>
  </w:style>
  <w:style w:type="character" w:styleId="Enfasigrassetto">
    <w:name w:val="Strong"/>
    <w:uiPriority w:val="22"/>
    <w:qFormat/>
    <w:rPr>
      <w:b/>
      <w:bCs/>
      <w:w w:val="100"/>
      <w:position w:val="-1"/>
      <w:effect w:val="none"/>
      <w:vertAlign w:val="baseline"/>
      <w:cs w:val="0"/>
      <w:em w:val="none"/>
    </w:rPr>
  </w:style>
  <w:style w:type="paragraph" w:styleId="Data">
    <w:name w:val="Date"/>
    <w:basedOn w:val="Normale"/>
    <w:next w:val="Normale"/>
  </w:style>
  <w:style w:type="paragraph" w:styleId="Mappadocumento">
    <w:name w:val="Document Map"/>
    <w:basedOn w:val="Normale"/>
    <w:pPr>
      <w:shd w:val="clear" w:color="auto" w:fill="000080"/>
    </w:pPr>
    <w:rPr>
      <w:rFonts w:ascii="Tahoma" w:hAnsi="Tahoma" w:cs="Tahoma"/>
      <w:sz w:val="20"/>
      <w:szCs w:val="20"/>
    </w:rPr>
  </w:style>
  <w:style w:type="paragraph" w:styleId="Testofumetto">
    <w:name w:val="Balloon Text"/>
    <w:basedOn w:val="Normale"/>
    <w:rPr>
      <w:rFonts w:ascii="Tahoma" w:hAnsi="Tahoma" w:cs="Tahoma"/>
      <w:sz w:val="16"/>
      <w:szCs w:val="16"/>
    </w:rPr>
  </w:style>
  <w:style w:type="character" w:customStyle="1" w:styleId="TestonormaleCarattere">
    <w:name w:val="Testo normale Carattere"/>
    <w:rPr>
      <w:rFonts w:ascii="Courier New" w:hAnsi="Courier New" w:cs="Courier New"/>
      <w:w w:val="100"/>
      <w:position w:val="-1"/>
      <w:effect w:val="none"/>
      <w:vertAlign w:val="baseline"/>
      <w:cs w:val="0"/>
      <w:em w:val="none"/>
      <w:lang w:val="it-IT" w:eastAsia="it-IT" w:bidi="ar-SA"/>
    </w:rPr>
  </w:style>
  <w:style w:type="paragraph" w:customStyle="1" w:styleId="Elencoacolori-Colore11">
    <w:name w:val="Elenco a colori - Colore 11"/>
    <w:basedOn w:val="Normale"/>
    <w:pPr>
      <w:spacing w:after="160" w:line="259" w:lineRule="auto"/>
      <w:ind w:left="720"/>
      <w:contextualSpacing/>
    </w:pPr>
    <w:rPr>
      <w:rFonts w:ascii="Calibri" w:eastAsia="Calibri" w:hAnsi="Calibri"/>
      <w:sz w:val="22"/>
      <w:szCs w:val="22"/>
      <w:lang w:eastAsia="en-US"/>
    </w:rPr>
  </w:style>
  <w:style w:type="character" w:customStyle="1" w:styleId="doccorrtitolo">
    <w:name w:val="doc_corr_titolo"/>
    <w:rPr>
      <w:w w:val="100"/>
      <w:position w:val="-1"/>
      <w:effect w:val="none"/>
      <w:vertAlign w:val="baseline"/>
      <w:cs w:val="0"/>
      <w:em w:val="none"/>
    </w:rPr>
  </w:style>
  <w:style w:type="character" w:customStyle="1" w:styleId="doctitolofile">
    <w:name w:val="doc_titolo_file"/>
    <w:rPr>
      <w:w w:val="100"/>
      <w:position w:val="-1"/>
      <w:effect w:val="none"/>
      <w:vertAlign w:val="baseline"/>
      <w:cs w:val="0"/>
      <w:em w:val="none"/>
    </w:rPr>
  </w:style>
  <w:style w:type="character" w:customStyle="1" w:styleId="Titolo2Carattere">
    <w:name w:val="Titolo 2 Carattere"/>
    <w:uiPriority w:val="9"/>
    <w:rPr>
      <w:rFonts w:ascii="Arial" w:hAnsi="Arial" w:cs="Arial"/>
      <w:b/>
      <w:bCs/>
      <w:i/>
      <w:iCs/>
      <w:w w:val="100"/>
      <w:position w:val="-1"/>
      <w:sz w:val="28"/>
      <w:szCs w:val="28"/>
      <w:effect w:val="none"/>
      <w:vertAlign w:val="baseline"/>
      <w:cs w:val="0"/>
      <w:em w:val="none"/>
    </w:rPr>
  </w:style>
  <w:style w:type="paragraph" w:customStyle="1" w:styleId="desctxt">
    <w:name w:val="desc_txt"/>
    <w:basedOn w:val="Normale"/>
    <w:pPr>
      <w:spacing w:before="100" w:beforeAutospacing="1" w:after="100" w:afterAutospacing="1"/>
    </w:pPr>
  </w:style>
  <w:style w:type="character" w:customStyle="1" w:styleId="Titolo5Carattere">
    <w:name w:val="Titolo 5 Carattere"/>
    <w:rPr>
      <w:rFonts w:ascii="Calibri" w:eastAsia="Times New Roman" w:hAnsi="Calibri" w:cs="Times New Roman"/>
      <w:b/>
      <w:bCs/>
      <w:i/>
      <w:iCs/>
      <w:w w:val="100"/>
      <w:position w:val="-1"/>
      <w:sz w:val="26"/>
      <w:szCs w:val="26"/>
      <w:effect w:val="none"/>
      <w:vertAlign w:val="baseline"/>
      <w:cs w:val="0"/>
      <w:em w:val="none"/>
    </w:rPr>
  </w:style>
  <w:style w:type="character" w:customStyle="1" w:styleId="nero">
    <w:name w:val="nero"/>
    <w:rPr>
      <w:w w:val="100"/>
      <w:position w:val="-1"/>
      <w:effect w:val="none"/>
      <w:vertAlign w:val="baseline"/>
      <w:cs w:val="0"/>
      <w:em w:val="none"/>
    </w:rPr>
  </w:style>
  <w:style w:type="paragraph" w:customStyle="1" w:styleId="attenzione">
    <w:name w:val="attenzione"/>
    <w:basedOn w:val="Normale"/>
    <w:pPr>
      <w:spacing w:before="100" w:beforeAutospacing="1" w:after="100" w:afterAutospacing="1"/>
    </w:p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Century Gothic" w:hAnsi="Century Gothic" w:cs="Century Gothic"/>
      <w:color w:val="000000"/>
      <w:position w:val="-1"/>
      <w:sz w:val="24"/>
      <w:szCs w:val="24"/>
    </w:rPr>
  </w:style>
  <w:style w:type="paragraph" w:styleId="Corpodeltesto3">
    <w:name w:val="Body Text 3"/>
    <w:basedOn w:val="Normale"/>
    <w:qFormat/>
    <w:pPr>
      <w:spacing w:after="120" w:line="259" w:lineRule="auto"/>
    </w:pPr>
    <w:rPr>
      <w:rFonts w:ascii="Calibri" w:eastAsia="Calibri" w:hAnsi="Calibri"/>
      <w:sz w:val="16"/>
      <w:szCs w:val="16"/>
      <w:lang w:eastAsia="en-US"/>
    </w:rPr>
  </w:style>
  <w:style w:type="character" w:customStyle="1" w:styleId="Corpodeltesto3Carattere">
    <w:name w:val="Corpo del testo 3 Carattere"/>
    <w:rPr>
      <w:rFonts w:ascii="Calibri" w:eastAsia="Calibri" w:hAnsi="Calibri"/>
      <w:w w:val="100"/>
      <w:position w:val="-1"/>
      <w:sz w:val="16"/>
      <w:szCs w:val="16"/>
      <w:effect w:val="none"/>
      <w:vertAlign w:val="baseline"/>
      <w:cs w:val="0"/>
      <w:em w:val="none"/>
      <w:lang w:eastAsia="en-US"/>
    </w:rPr>
  </w:style>
  <w:style w:type="character" w:customStyle="1" w:styleId="rifnormativobo">
    <w:name w:val="rifnormativo_bo"/>
    <w:rPr>
      <w:w w:val="100"/>
      <w:position w:val="-1"/>
      <w:effect w:val="none"/>
      <w:vertAlign w:val="baseline"/>
      <w:cs w:val="0"/>
      <w:em w:val="none"/>
    </w:rPr>
  </w:style>
  <w:style w:type="character" w:styleId="Collegamentovisitato">
    <w:name w:val="FollowedHyperlink"/>
    <w:rPr>
      <w:color w:val="954F72"/>
      <w:w w:val="100"/>
      <w:position w:val="-1"/>
      <w:u w:val="single"/>
      <w:effect w:val="none"/>
      <w:vertAlign w:val="baseline"/>
      <w:cs w:val="0"/>
      <w:em w:val="none"/>
    </w:rPr>
  </w:style>
  <w:style w:type="character" w:customStyle="1" w:styleId="10l">
    <w:name w:val="10l"/>
    <w:rPr>
      <w:w w:val="100"/>
      <w:position w:val="-1"/>
      <w:effect w:val="none"/>
      <w:vertAlign w:val="baseline"/>
      <w:cs w:val="0"/>
      <w:em w:val="none"/>
    </w:rPr>
  </w:style>
  <w:style w:type="paragraph" w:customStyle="1" w:styleId="testo">
    <w:name w:val="testo"/>
    <w:basedOn w:val="Normale"/>
    <w:pPr>
      <w:spacing w:before="100" w:beforeAutospacing="1" w:after="100" w:afterAutospacing="1"/>
    </w:pPr>
  </w:style>
  <w:style w:type="paragraph" w:customStyle="1" w:styleId="testo-r1">
    <w:name w:val="testo-r1"/>
    <w:basedOn w:val="Normale"/>
    <w:pPr>
      <w:spacing w:before="100" w:beforeAutospacing="1" w:after="100" w:afterAutospacing="1"/>
    </w:pPr>
  </w:style>
  <w:style w:type="table" w:customStyle="1" w:styleId="TableGrid">
    <w:name w:val="TableGrid"/>
    <w:pPr>
      <w:suppressAutoHyphens/>
      <w:spacing w:line="1" w:lineRule="atLeast"/>
      <w:ind w:leftChars="-1" w:left="-1" w:hangingChars="1" w:hanging="1"/>
      <w:textDirection w:val="btLr"/>
      <w:textAlignment w:val="top"/>
      <w:outlineLvl w:val="0"/>
    </w:pPr>
    <w:rPr>
      <w:rFonts w:ascii="Calibri" w:hAnsi="Calibri"/>
      <w:position w:val="-1"/>
      <w:sz w:val="22"/>
      <w:szCs w:val="22"/>
    </w:rPr>
    <w:tblPr>
      <w:tblCellMar>
        <w:top w:w="0" w:type="dxa"/>
        <w:left w:w="0" w:type="dxa"/>
        <w:bottom w:w="0" w:type="dxa"/>
        <w:right w:w="0" w:type="dxa"/>
      </w:tblCellMar>
    </w:tblPr>
  </w:style>
  <w:style w:type="character" w:customStyle="1" w:styleId="Titolo6Carattere">
    <w:name w:val="Titolo 6 Carattere"/>
    <w:rPr>
      <w:rFonts w:ascii="Calibri" w:eastAsia="Times New Roman" w:hAnsi="Calibri" w:cs="Times New Roman"/>
      <w:b/>
      <w:bCs/>
      <w:w w:val="100"/>
      <w:position w:val="-1"/>
      <w:sz w:val="22"/>
      <w:szCs w:val="22"/>
      <w:effect w:val="none"/>
      <w:vertAlign w:val="baseline"/>
      <w:cs w:val="0"/>
      <w:em w:val="none"/>
    </w:rPr>
  </w:style>
  <w:style w:type="paragraph" w:customStyle="1" w:styleId="contenutotabella">
    <w:name w:val="contenutotabella"/>
    <w:basedOn w:val="Normale"/>
    <w:pPr>
      <w:spacing w:before="100" w:beforeAutospacing="1" w:after="100" w:afterAutospacing="1"/>
    </w:pPr>
  </w:style>
  <w:style w:type="paragraph" w:customStyle="1" w:styleId="testopreformattato">
    <w:name w:val="testopreformattato"/>
    <w:basedOn w:val="Normale"/>
    <w:pPr>
      <w:spacing w:before="100" w:beforeAutospacing="1" w:after="100" w:afterAutospacing="1"/>
    </w:pPr>
  </w:style>
  <w:style w:type="paragraph" w:customStyle="1" w:styleId="boxattenzione">
    <w:name w:val="boxattenzione"/>
    <w:basedOn w:val="Normale"/>
    <w:pPr>
      <w:spacing w:before="100" w:beforeAutospacing="1" w:after="100" w:afterAutospacing="1"/>
    </w:pPr>
  </w:style>
  <w:style w:type="paragraph" w:customStyle="1" w:styleId="preformattedtext">
    <w:name w:val="preformattedtext"/>
    <w:basedOn w:val="Normale"/>
    <w:pPr>
      <w:spacing w:before="100" w:beforeAutospacing="1" w:after="100" w:afterAutospacing="1"/>
    </w:pPr>
  </w:style>
  <w:style w:type="paragraph" w:customStyle="1" w:styleId="standard">
    <w:name w:val="standard"/>
    <w:basedOn w:val="Normale"/>
    <w:pPr>
      <w:spacing w:before="100" w:beforeAutospacing="1" w:after="100" w:afterAutospacing="1"/>
    </w:pPr>
  </w:style>
  <w:style w:type="table" w:styleId="Tabellatema">
    <w:name w:val="Table Theme"/>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Normale"/>
    <w:pPr>
      <w:spacing w:before="100" w:beforeAutospacing="1" w:after="100" w:afterAutospacing="1"/>
    </w:pPr>
  </w:style>
  <w:style w:type="paragraph" w:customStyle="1" w:styleId="corpodeltesto">
    <w:name w:val="corpo del testo"/>
    <w:basedOn w:val="Testonormale"/>
    <w:pPr>
      <w:spacing w:line="280" w:lineRule="atLeast"/>
      <w:ind w:left="1259"/>
      <w:jc w:val="both"/>
    </w:pPr>
    <w:rPr>
      <w:rFonts w:ascii="Arial" w:hAnsi="Arial" w:cs="Arial"/>
      <w:sz w:val="22"/>
      <w:szCs w:val="23"/>
    </w:rPr>
  </w:style>
  <w:style w:type="character" w:customStyle="1" w:styleId="corpodeltestoCarattere">
    <w:name w:val="corpo del testo Carattere"/>
    <w:rPr>
      <w:rFonts w:ascii="Arial" w:hAnsi="Arial" w:cs="Arial"/>
      <w:w w:val="100"/>
      <w:position w:val="-1"/>
      <w:sz w:val="22"/>
      <w:szCs w:val="23"/>
      <w:effect w:val="none"/>
      <w:vertAlign w:val="baseline"/>
      <w:cs w:val="0"/>
      <w:em w:val="none"/>
    </w:rPr>
  </w:style>
  <w:style w:type="character" w:customStyle="1" w:styleId="linkblu">
    <w:name w:val="linkblu"/>
    <w:rPr>
      <w:w w:val="100"/>
      <w:position w:val="-1"/>
      <w:effect w:val="none"/>
      <w:vertAlign w:val="baseline"/>
      <w:cs w:val="0"/>
      <w:em w:val="none"/>
    </w:rPr>
  </w:style>
  <w:style w:type="character" w:styleId="Menzionenonrisolta">
    <w:name w:val="Unresolved Mention"/>
    <w:rPr>
      <w:color w:val="605E5C"/>
      <w:w w:val="100"/>
      <w:position w:val="-1"/>
      <w:effect w:val="none"/>
      <w:shd w:val="clear" w:color="auto" w:fill="E1DFDD"/>
      <w:vertAlign w:val="baseline"/>
      <w:cs w:val="0"/>
      <w:em w:val="none"/>
    </w:rPr>
  </w:style>
  <w:style w:type="paragraph" w:styleId="Revisione">
    <w:name w:val="Revision"/>
    <w:qFormat/>
    <w:pPr>
      <w:suppressAutoHyphens/>
      <w:spacing w:line="1" w:lineRule="atLeast"/>
      <w:ind w:leftChars="-1" w:left="-1" w:hangingChars="1" w:hanging="1"/>
      <w:textDirection w:val="btLr"/>
      <w:textAlignment w:val="top"/>
      <w:outlineLvl w:val="0"/>
    </w:pPr>
    <w:rPr>
      <w:position w:val="-1"/>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70" w:type="dxa"/>
        <w:right w:w="70"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paragraph" w:styleId="Paragrafoelenco">
    <w:name w:val="List Paragraph"/>
    <w:basedOn w:val="Normale"/>
    <w:uiPriority w:val="34"/>
    <w:qFormat/>
    <w:rsid w:val="00F21E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305">
      <w:bodyDiv w:val="1"/>
      <w:marLeft w:val="0"/>
      <w:marRight w:val="0"/>
      <w:marTop w:val="0"/>
      <w:marBottom w:val="0"/>
      <w:divBdr>
        <w:top w:val="none" w:sz="0" w:space="0" w:color="auto"/>
        <w:left w:val="none" w:sz="0" w:space="0" w:color="auto"/>
        <w:bottom w:val="none" w:sz="0" w:space="0" w:color="auto"/>
        <w:right w:val="none" w:sz="0" w:space="0" w:color="auto"/>
      </w:divBdr>
    </w:div>
    <w:div w:id="71242570">
      <w:bodyDiv w:val="1"/>
      <w:marLeft w:val="0"/>
      <w:marRight w:val="0"/>
      <w:marTop w:val="0"/>
      <w:marBottom w:val="0"/>
      <w:divBdr>
        <w:top w:val="none" w:sz="0" w:space="0" w:color="auto"/>
        <w:left w:val="none" w:sz="0" w:space="0" w:color="auto"/>
        <w:bottom w:val="none" w:sz="0" w:space="0" w:color="auto"/>
        <w:right w:val="none" w:sz="0" w:space="0" w:color="auto"/>
      </w:divBdr>
    </w:div>
    <w:div w:id="103768080">
      <w:bodyDiv w:val="1"/>
      <w:marLeft w:val="0"/>
      <w:marRight w:val="0"/>
      <w:marTop w:val="0"/>
      <w:marBottom w:val="0"/>
      <w:divBdr>
        <w:top w:val="none" w:sz="0" w:space="0" w:color="auto"/>
        <w:left w:val="none" w:sz="0" w:space="0" w:color="auto"/>
        <w:bottom w:val="none" w:sz="0" w:space="0" w:color="auto"/>
        <w:right w:val="none" w:sz="0" w:space="0" w:color="auto"/>
      </w:divBdr>
    </w:div>
    <w:div w:id="193006684">
      <w:bodyDiv w:val="1"/>
      <w:marLeft w:val="0"/>
      <w:marRight w:val="0"/>
      <w:marTop w:val="0"/>
      <w:marBottom w:val="0"/>
      <w:divBdr>
        <w:top w:val="none" w:sz="0" w:space="0" w:color="auto"/>
        <w:left w:val="none" w:sz="0" w:space="0" w:color="auto"/>
        <w:bottom w:val="none" w:sz="0" w:space="0" w:color="auto"/>
        <w:right w:val="none" w:sz="0" w:space="0" w:color="auto"/>
      </w:divBdr>
    </w:div>
    <w:div w:id="234631552">
      <w:bodyDiv w:val="1"/>
      <w:marLeft w:val="0"/>
      <w:marRight w:val="0"/>
      <w:marTop w:val="0"/>
      <w:marBottom w:val="0"/>
      <w:divBdr>
        <w:top w:val="none" w:sz="0" w:space="0" w:color="auto"/>
        <w:left w:val="none" w:sz="0" w:space="0" w:color="auto"/>
        <w:bottom w:val="none" w:sz="0" w:space="0" w:color="auto"/>
        <w:right w:val="none" w:sz="0" w:space="0" w:color="auto"/>
      </w:divBdr>
    </w:div>
    <w:div w:id="340133425">
      <w:bodyDiv w:val="1"/>
      <w:marLeft w:val="0"/>
      <w:marRight w:val="0"/>
      <w:marTop w:val="0"/>
      <w:marBottom w:val="0"/>
      <w:divBdr>
        <w:top w:val="none" w:sz="0" w:space="0" w:color="auto"/>
        <w:left w:val="none" w:sz="0" w:space="0" w:color="auto"/>
        <w:bottom w:val="none" w:sz="0" w:space="0" w:color="auto"/>
        <w:right w:val="none" w:sz="0" w:space="0" w:color="auto"/>
      </w:divBdr>
    </w:div>
    <w:div w:id="400559938">
      <w:bodyDiv w:val="1"/>
      <w:marLeft w:val="0"/>
      <w:marRight w:val="0"/>
      <w:marTop w:val="0"/>
      <w:marBottom w:val="0"/>
      <w:divBdr>
        <w:top w:val="none" w:sz="0" w:space="0" w:color="auto"/>
        <w:left w:val="none" w:sz="0" w:space="0" w:color="auto"/>
        <w:bottom w:val="none" w:sz="0" w:space="0" w:color="auto"/>
        <w:right w:val="none" w:sz="0" w:space="0" w:color="auto"/>
      </w:divBdr>
    </w:div>
    <w:div w:id="442655975">
      <w:bodyDiv w:val="1"/>
      <w:marLeft w:val="0"/>
      <w:marRight w:val="0"/>
      <w:marTop w:val="0"/>
      <w:marBottom w:val="0"/>
      <w:divBdr>
        <w:top w:val="none" w:sz="0" w:space="0" w:color="auto"/>
        <w:left w:val="none" w:sz="0" w:space="0" w:color="auto"/>
        <w:bottom w:val="none" w:sz="0" w:space="0" w:color="auto"/>
        <w:right w:val="none" w:sz="0" w:space="0" w:color="auto"/>
      </w:divBdr>
    </w:div>
    <w:div w:id="482310833">
      <w:bodyDiv w:val="1"/>
      <w:marLeft w:val="0"/>
      <w:marRight w:val="0"/>
      <w:marTop w:val="0"/>
      <w:marBottom w:val="0"/>
      <w:divBdr>
        <w:top w:val="none" w:sz="0" w:space="0" w:color="auto"/>
        <w:left w:val="none" w:sz="0" w:space="0" w:color="auto"/>
        <w:bottom w:val="none" w:sz="0" w:space="0" w:color="auto"/>
        <w:right w:val="none" w:sz="0" w:space="0" w:color="auto"/>
      </w:divBdr>
    </w:div>
    <w:div w:id="544099465">
      <w:bodyDiv w:val="1"/>
      <w:marLeft w:val="0"/>
      <w:marRight w:val="0"/>
      <w:marTop w:val="0"/>
      <w:marBottom w:val="0"/>
      <w:divBdr>
        <w:top w:val="none" w:sz="0" w:space="0" w:color="auto"/>
        <w:left w:val="none" w:sz="0" w:space="0" w:color="auto"/>
        <w:bottom w:val="none" w:sz="0" w:space="0" w:color="auto"/>
        <w:right w:val="none" w:sz="0" w:space="0" w:color="auto"/>
      </w:divBdr>
    </w:div>
    <w:div w:id="559442148">
      <w:bodyDiv w:val="1"/>
      <w:marLeft w:val="0"/>
      <w:marRight w:val="0"/>
      <w:marTop w:val="0"/>
      <w:marBottom w:val="0"/>
      <w:divBdr>
        <w:top w:val="none" w:sz="0" w:space="0" w:color="auto"/>
        <w:left w:val="none" w:sz="0" w:space="0" w:color="auto"/>
        <w:bottom w:val="none" w:sz="0" w:space="0" w:color="auto"/>
        <w:right w:val="none" w:sz="0" w:space="0" w:color="auto"/>
      </w:divBdr>
    </w:div>
    <w:div w:id="563417845">
      <w:bodyDiv w:val="1"/>
      <w:marLeft w:val="0"/>
      <w:marRight w:val="0"/>
      <w:marTop w:val="0"/>
      <w:marBottom w:val="0"/>
      <w:divBdr>
        <w:top w:val="none" w:sz="0" w:space="0" w:color="auto"/>
        <w:left w:val="none" w:sz="0" w:space="0" w:color="auto"/>
        <w:bottom w:val="none" w:sz="0" w:space="0" w:color="auto"/>
        <w:right w:val="none" w:sz="0" w:space="0" w:color="auto"/>
      </w:divBdr>
    </w:div>
    <w:div w:id="581987717">
      <w:bodyDiv w:val="1"/>
      <w:marLeft w:val="0"/>
      <w:marRight w:val="0"/>
      <w:marTop w:val="0"/>
      <w:marBottom w:val="0"/>
      <w:divBdr>
        <w:top w:val="none" w:sz="0" w:space="0" w:color="auto"/>
        <w:left w:val="none" w:sz="0" w:space="0" w:color="auto"/>
        <w:bottom w:val="none" w:sz="0" w:space="0" w:color="auto"/>
        <w:right w:val="none" w:sz="0" w:space="0" w:color="auto"/>
      </w:divBdr>
    </w:div>
    <w:div w:id="592056758">
      <w:bodyDiv w:val="1"/>
      <w:marLeft w:val="0"/>
      <w:marRight w:val="0"/>
      <w:marTop w:val="0"/>
      <w:marBottom w:val="0"/>
      <w:divBdr>
        <w:top w:val="none" w:sz="0" w:space="0" w:color="auto"/>
        <w:left w:val="none" w:sz="0" w:space="0" w:color="auto"/>
        <w:bottom w:val="none" w:sz="0" w:space="0" w:color="auto"/>
        <w:right w:val="none" w:sz="0" w:space="0" w:color="auto"/>
      </w:divBdr>
    </w:div>
    <w:div w:id="629046152">
      <w:bodyDiv w:val="1"/>
      <w:marLeft w:val="0"/>
      <w:marRight w:val="0"/>
      <w:marTop w:val="0"/>
      <w:marBottom w:val="0"/>
      <w:divBdr>
        <w:top w:val="none" w:sz="0" w:space="0" w:color="auto"/>
        <w:left w:val="none" w:sz="0" w:space="0" w:color="auto"/>
        <w:bottom w:val="none" w:sz="0" w:space="0" w:color="auto"/>
        <w:right w:val="none" w:sz="0" w:space="0" w:color="auto"/>
      </w:divBdr>
    </w:div>
    <w:div w:id="665204539">
      <w:bodyDiv w:val="1"/>
      <w:marLeft w:val="0"/>
      <w:marRight w:val="0"/>
      <w:marTop w:val="0"/>
      <w:marBottom w:val="0"/>
      <w:divBdr>
        <w:top w:val="none" w:sz="0" w:space="0" w:color="auto"/>
        <w:left w:val="none" w:sz="0" w:space="0" w:color="auto"/>
        <w:bottom w:val="none" w:sz="0" w:space="0" w:color="auto"/>
        <w:right w:val="none" w:sz="0" w:space="0" w:color="auto"/>
      </w:divBdr>
    </w:div>
    <w:div w:id="666135613">
      <w:bodyDiv w:val="1"/>
      <w:marLeft w:val="0"/>
      <w:marRight w:val="0"/>
      <w:marTop w:val="0"/>
      <w:marBottom w:val="0"/>
      <w:divBdr>
        <w:top w:val="none" w:sz="0" w:space="0" w:color="auto"/>
        <w:left w:val="none" w:sz="0" w:space="0" w:color="auto"/>
        <w:bottom w:val="none" w:sz="0" w:space="0" w:color="auto"/>
        <w:right w:val="none" w:sz="0" w:space="0" w:color="auto"/>
      </w:divBdr>
    </w:div>
    <w:div w:id="700399852">
      <w:bodyDiv w:val="1"/>
      <w:marLeft w:val="0"/>
      <w:marRight w:val="0"/>
      <w:marTop w:val="0"/>
      <w:marBottom w:val="0"/>
      <w:divBdr>
        <w:top w:val="none" w:sz="0" w:space="0" w:color="auto"/>
        <w:left w:val="none" w:sz="0" w:space="0" w:color="auto"/>
        <w:bottom w:val="none" w:sz="0" w:space="0" w:color="auto"/>
        <w:right w:val="none" w:sz="0" w:space="0" w:color="auto"/>
      </w:divBdr>
      <w:divsChild>
        <w:div w:id="1413115631">
          <w:marLeft w:val="0"/>
          <w:marRight w:val="0"/>
          <w:marTop w:val="0"/>
          <w:marBottom w:val="0"/>
          <w:divBdr>
            <w:top w:val="none" w:sz="0" w:space="0" w:color="auto"/>
            <w:left w:val="none" w:sz="0" w:space="0" w:color="auto"/>
            <w:bottom w:val="none" w:sz="0" w:space="0" w:color="auto"/>
            <w:right w:val="none" w:sz="0" w:space="0" w:color="auto"/>
          </w:divBdr>
          <w:divsChild>
            <w:div w:id="1595627208">
              <w:marLeft w:val="0"/>
              <w:marRight w:val="0"/>
              <w:marTop w:val="0"/>
              <w:marBottom w:val="0"/>
              <w:divBdr>
                <w:top w:val="none" w:sz="0" w:space="0" w:color="auto"/>
                <w:left w:val="none" w:sz="0" w:space="0" w:color="auto"/>
                <w:bottom w:val="none" w:sz="0" w:space="0" w:color="auto"/>
                <w:right w:val="none" w:sz="0" w:space="0" w:color="auto"/>
              </w:divBdr>
            </w:div>
          </w:divsChild>
        </w:div>
        <w:div w:id="267393314">
          <w:marLeft w:val="0"/>
          <w:marRight w:val="0"/>
          <w:marTop w:val="0"/>
          <w:marBottom w:val="0"/>
          <w:divBdr>
            <w:top w:val="none" w:sz="0" w:space="0" w:color="auto"/>
            <w:left w:val="none" w:sz="0" w:space="0" w:color="auto"/>
            <w:bottom w:val="none" w:sz="0" w:space="0" w:color="auto"/>
            <w:right w:val="none" w:sz="0" w:space="0" w:color="auto"/>
          </w:divBdr>
          <w:divsChild>
            <w:div w:id="1923639263">
              <w:marLeft w:val="0"/>
              <w:marRight w:val="0"/>
              <w:marTop w:val="0"/>
              <w:marBottom w:val="0"/>
              <w:divBdr>
                <w:top w:val="none" w:sz="0" w:space="0" w:color="auto"/>
                <w:left w:val="none" w:sz="0" w:space="0" w:color="auto"/>
                <w:bottom w:val="none" w:sz="0" w:space="0" w:color="auto"/>
                <w:right w:val="none" w:sz="0" w:space="0" w:color="auto"/>
              </w:divBdr>
              <w:divsChild>
                <w:div w:id="470565398">
                  <w:marLeft w:val="0"/>
                  <w:marRight w:val="0"/>
                  <w:marTop w:val="0"/>
                  <w:marBottom w:val="0"/>
                  <w:divBdr>
                    <w:top w:val="none" w:sz="0" w:space="0" w:color="auto"/>
                    <w:left w:val="none" w:sz="0" w:space="0" w:color="auto"/>
                    <w:bottom w:val="none" w:sz="0" w:space="0" w:color="auto"/>
                    <w:right w:val="none" w:sz="0" w:space="0" w:color="auto"/>
                  </w:divBdr>
                  <w:divsChild>
                    <w:div w:id="651786656">
                      <w:marLeft w:val="0"/>
                      <w:marRight w:val="0"/>
                      <w:marTop w:val="0"/>
                      <w:marBottom w:val="0"/>
                      <w:divBdr>
                        <w:top w:val="none" w:sz="0" w:space="0" w:color="auto"/>
                        <w:left w:val="none" w:sz="0" w:space="0" w:color="auto"/>
                        <w:bottom w:val="none" w:sz="0" w:space="0" w:color="auto"/>
                        <w:right w:val="none" w:sz="0" w:space="0" w:color="auto"/>
                      </w:divBdr>
                      <w:divsChild>
                        <w:div w:id="982734228">
                          <w:marLeft w:val="0"/>
                          <w:marRight w:val="0"/>
                          <w:marTop w:val="0"/>
                          <w:marBottom w:val="0"/>
                          <w:divBdr>
                            <w:top w:val="none" w:sz="0" w:space="0" w:color="auto"/>
                            <w:left w:val="none" w:sz="0" w:space="0" w:color="auto"/>
                            <w:bottom w:val="none" w:sz="0" w:space="0" w:color="auto"/>
                            <w:right w:val="none" w:sz="0" w:space="0" w:color="auto"/>
                          </w:divBdr>
                          <w:divsChild>
                            <w:div w:id="1233466590">
                              <w:marLeft w:val="0"/>
                              <w:marRight w:val="0"/>
                              <w:marTop w:val="0"/>
                              <w:marBottom w:val="0"/>
                              <w:divBdr>
                                <w:top w:val="none" w:sz="0" w:space="0" w:color="auto"/>
                                <w:left w:val="none" w:sz="0" w:space="0" w:color="auto"/>
                                <w:bottom w:val="none" w:sz="0" w:space="0" w:color="auto"/>
                                <w:right w:val="none" w:sz="0" w:space="0" w:color="auto"/>
                              </w:divBdr>
                              <w:divsChild>
                                <w:div w:id="453524840">
                                  <w:marLeft w:val="0"/>
                                  <w:marRight w:val="0"/>
                                  <w:marTop w:val="0"/>
                                  <w:marBottom w:val="0"/>
                                  <w:divBdr>
                                    <w:top w:val="none" w:sz="0" w:space="0" w:color="auto"/>
                                    <w:left w:val="none" w:sz="0" w:space="0" w:color="auto"/>
                                    <w:bottom w:val="none" w:sz="0" w:space="0" w:color="auto"/>
                                    <w:right w:val="none" w:sz="0" w:space="0" w:color="auto"/>
                                  </w:divBdr>
                                  <w:divsChild>
                                    <w:div w:id="811364951">
                                      <w:marLeft w:val="0"/>
                                      <w:marRight w:val="0"/>
                                      <w:marTop w:val="0"/>
                                      <w:marBottom w:val="0"/>
                                      <w:divBdr>
                                        <w:top w:val="none" w:sz="0" w:space="0" w:color="auto"/>
                                        <w:left w:val="none" w:sz="0" w:space="0" w:color="auto"/>
                                        <w:bottom w:val="none" w:sz="0" w:space="0" w:color="auto"/>
                                        <w:right w:val="none" w:sz="0" w:space="0" w:color="auto"/>
                                      </w:divBdr>
                                      <w:divsChild>
                                        <w:div w:id="2018145800">
                                          <w:marLeft w:val="0"/>
                                          <w:marRight w:val="0"/>
                                          <w:marTop w:val="0"/>
                                          <w:marBottom w:val="0"/>
                                          <w:divBdr>
                                            <w:top w:val="none" w:sz="0" w:space="0" w:color="auto"/>
                                            <w:left w:val="none" w:sz="0" w:space="0" w:color="auto"/>
                                            <w:bottom w:val="none" w:sz="0" w:space="0" w:color="auto"/>
                                            <w:right w:val="none" w:sz="0" w:space="0" w:color="auto"/>
                                          </w:divBdr>
                                          <w:divsChild>
                                            <w:div w:id="3165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0227471">
      <w:bodyDiv w:val="1"/>
      <w:marLeft w:val="0"/>
      <w:marRight w:val="0"/>
      <w:marTop w:val="0"/>
      <w:marBottom w:val="0"/>
      <w:divBdr>
        <w:top w:val="none" w:sz="0" w:space="0" w:color="auto"/>
        <w:left w:val="none" w:sz="0" w:space="0" w:color="auto"/>
        <w:bottom w:val="none" w:sz="0" w:space="0" w:color="auto"/>
        <w:right w:val="none" w:sz="0" w:space="0" w:color="auto"/>
      </w:divBdr>
    </w:div>
    <w:div w:id="765468210">
      <w:bodyDiv w:val="1"/>
      <w:marLeft w:val="0"/>
      <w:marRight w:val="0"/>
      <w:marTop w:val="0"/>
      <w:marBottom w:val="0"/>
      <w:divBdr>
        <w:top w:val="none" w:sz="0" w:space="0" w:color="auto"/>
        <w:left w:val="none" w:sz="0" w:space="0" w:color="auto"/>
        <w:bottom w:val="none" w:sz="0" w:space="0" w:color="auto"/>
        <w:right w:val="none" w:sz="0" w:space="0" w:color="auto"/>
      </w:divBdr>
    </w:div>
    <w:div w:id="809514104">
      <w:bodyDiv w:val="1"/>
      <w:marLeft w:val="0"/>
      <w:marRight w:val="0"/>
      <w:marTop w:val="0"/>
      <w:marBottom w:val="0"/>
      <w:divBdr>
        <w:top w:val="none" w:sz="0" w:space="0" w:color="auto"/>
        <w:left w:val="none" w:sz="0" w:space="0" w:color="auto"/>
        <w:bottom w:val="none" w:sz="0" w:space="0" w:color="auto"/>
        <w:right w:val="none" w:sz="0" w:space="0" w:color="auto"/>
      </w:divBdr>
    </w:div>
    <w:div w:id="909314634">
      <w:bodyDiv w:val="1"/>
      <w:marLeft w:val="0"/>
      <w:marRight w:val="0"/>
      <w:marTop w:val="0"/>
      <w:marBottom w:val="0"/>
      <w:divBdr>
        <w:top w:val="none" w:sz="0" w:space="0" w:color="auto"/>
        <w:left w:val="none" w:sz="0" w:space="0" w:color="auto"/>
        <w:bottom w:val="none" w:sz="0" w:space="0" w:color="auto"/>
        <w:right w:val="none" w:sz="0" w:space="0" w:color="auto"/>
      </w:divBdr>
    </w:div>
    <w:div w:id="910389094">
      <w:bodyDiv w:val="1"/>
      <w:marLeft w:val="0"/>
      <w:marRight w:val="0"/>
      <w:marTop w:val="0"/>
      <w:marBottom w:val="0"/>
      <w:divBdr>
        <w:top w:val="none" w:sz="0" w:space="0" w:color="auto"/>
        <w:left w:val="none" w:sz="0" w:space="0" w:color="auto"/>
        <w:bottom w:val="none" w:sz="0" w:space="0" w:color="auto"/>
        <w:right w:val="none" w:sz="0" w:space="0" w:color="auto"/>
      </w:divBdr>
    </w:div>
    <w:div w:id="1002202671">
      <w:bodyDiv w:val="1"/>
      <w:marLeft w:val="0"/>
      <w:marRight w:val="0"/>
      <w:marTop w:val="0"/>
      <w:marBottom w:val="0"/>
      <w:divBdr>
        <w:top w:val="none" w:sz="0" w:space="0" w:color="auto"/>
        <w:left w:val="none" w:sz="0" w:space="0" w:color="auto"/>
        <w:bottom w:val="none" w:sz="0" w:space="0" w:color="auto"/>
        <w:right w:val="none" w:sz="0" w:space="0" w:color="auto"/>
      </w:divBdr>
    </w:div>
    <w:div w:id="1002732380">
      <w:bodyDiv w:val="1"/>
      <w:marLeft w:val="0"/>
      <w:marRight w:val="0"/>
      <w:marTop w:val="0"/>
      <w:marBottom w:val="0"/>
      <w:divBdr>
        <w:top w:val="none" w:sz="0" w:space="0" w:color="auto"/>
        <w:left w:val="none" w:sz="0" w:space="0" w:color="auto"/>
        <w:bottom w:val="none" w:sz="0" w:space="0" w:color="auto"/>
        <w:right w:val="none" w:sz="0" w:space="0" w:color="auto"/>
      </w:divBdr>
    </w:div>
    <w:div w:id="1133330385">
      <w:bodyDiv w:val="1"/>
      <w:marLeft w:val="0"/>
      <w:marRight w:val="0"/>
      <w:marTop w:val="0"/>
      <w:marBottom w:val="0"/>
      <w:divBdr>
        <w:top w:val="none" w:sz="0" w:space="0" w:color="auto"/>
        <w:left w:val="none" w:sz="0" w:space="0" w:color="auto"/>
        <w:bottom w:val="none" w:sz="0" w:space="0" w:color="auto"/>
        <w:right w:val="none" w:sz="0" w:space="0" w:color="auto"/>
      </w:divBdr>
      <w:divsChild>
        <w:div w:id="2117016125">
          <w:marLeft w:val="0"/>
          <w:marRight w:val="0"/>
          <w:marTop w:val="0"/>
          <w:marBottom w:val="0"/>
          <w:divBdr>
            <w:top w:val="none" w:sz="0" w:space="0" w:color="auto"/>
            <w:left w:val="none" w:sz="0" w:space="0" w:color="auto"/>
            <w:bottom w:val="none" w:sz="0" w:space="0" w:color="auto"/>
            <w:right w:val="none" w:sz="0" w:space="0" w:color="auto"/>
          </w:divBdr>
          <w:divsChild>
            <w:div w:id="1604218634">
              <w:marLeft w:val="0"/>
              <w:marRight w:val="0"/>
              <w:marTop w:val="0"/>
              <w:marBottom w:val="0"/>
              <w:divBdr>
                <w:top w:val="none" w:sz="0" w:space="0" w:color="auto"/>
                <w:left w:val="none" w:sz="0" w:space="0" w:color="auto"/>
                <w:bottom w:val="none" w:sz="0" w:space="0" w:color="auto"/>
                <w:right w:val="none" w:sz="0" w:space="0" w:color="auto"/>
              </w:divBdr>
            </w:div>
          </w:divsChild>
        </w:div>
        <w:div w:id="706026716">
          <w:marLeft w:val="0"/>
          <w:marRight w:val="0"/>
          <w:marTop w:val="0"/>
          <w:marBottom w:val="0"/>
          <w:divBdr>
            <w:top w:val="none" w:sz="0" w:space="0" w:color="auto"/>
            <w:left w:val="none" w:sz="0" w:space="0" w:color="auto"/>
            <w:bottom w:val="none" w:sz="0" w:space="0" w:color="auto"/>
            <w:right w:val="none" w:sz="0" w:space="0" w:color="auto"/>
          </w:divBdr>
          <w:divsChild>
            <w:div w:id="77291264">
              <w:marLeft w:val="0"/>
              <w:marRight w:val="0"/>
              <w:marTop w:val="0"/>
              <w:marBottom w:val="0"/>
              <w:divBdr>
                <w:top w:val="none" w:sz="0" w:space="0" w:color="auto"/>
                <w:left w:val="none" w:sz="0" w:space="0" w:color="auto"/>
                <w:bottom w:val="none" w:sz="0" w:space="0" w:color="auto"/>
                <w:right w:val="none" w:sz="0" w:space="0" w:color="auto"/>
              </w:divBdr>
              <w:divsChild>
                <w:div w:id="1649633241">
                  <w:marLeft w:val="0"/>
                  <w:marRight w:val="0"/>
                  <w:marTop w:val="0"/>
                  <w:marBottom w:val="0"/>
                  <w:divBdr>
                    <w:top w:val="none" w:sz="0" w:space="0" w:color="auto"/>
                    <w:left w:val="none" w:sz="0" w:space="0" w:color="auto"/>
                    <w:bottom w:val="none" w:sz="0" w:space="0" w:color="auto"/>
                    <w:right w:val="none" w:sz="0" w:space="0" w:color="auto"/>
                  </w:divBdr>
                  <w:divsChild>
                    <w:div w:id="230430120">
                      <w:marLeft w:val="0"/>
                      <w:marRight w:val="0"/>
                      <w:marTop w:val="0"/>
                      <w:marBottom w:val="0"/>
                      <w:divBdr>
                        <w:top w:val="none" w:sz="0" w:space="0" w:color="auto"/>
                        <w:left w:val="none" w:sz="0" w:space="0" w:color="auto"/>
                        <w:bottom w:val="none" w:sz="0" w:space="0" w:color="auto"/>
                        <w:right w:val="none" w:sz="0" w:space="0" w:color="auto"/>
                      </w:divBdr>
                      <w:divsChild>
                        <w:div w:id="236476556">
                          <w:marLeft w:val="0"/>
                          <w:marRight w:val="0"/>
                          <w:marTop w:val="0"/>
                          <w:marBottom w:val="0"/>
                          <w:divBdr>
                            <w:top w:val="none" w:sz="0" w:space="0" w:color="auto"/>
                            <w:left w:val="none" w:sz="0" w:space="0" w:color="auto"/>
                            <w:bottom w:val="none" w:sz="0" w:space="0" w:color="auto"/>
                            <w:right w:val="none" w:sz="0" w:space="0" w:color="auto"/>
                          </w:divBdr>
                          <w:divsChild>
                            <w:div w:id="305084333">
                              <w:marLeft w:val="0"/>
                              <w:marRight w:val="0"/>
                              <w:marTop w:val="0"/>
                              <w:marBottom w:val="0"/>
                              <w:divBdr>
                                <w:top w:val="none" w:sz="0" w:space="0" w:color="auto"/>
                                <w:left w:val="none" w:sz="0" w:space="0" w:color="auto"/>
                                <w:bottom w:val="none" w:sz="0" w:space="0" w:color="auto"/>
                                <w:right w:val="none" w:sz="0" w:space="0" w:color="auto"/>
                              </w:divBdr>
                              <w:divsChild>
                                <w:div w:id="302733852">
                                  <w:marLeft w:val="0"/>
                                  <w:marRight w:val="0"/>
                                  <w:marTop w:val="0"/>
                                  <w:marBottom w:val="0"/>
                                  <w:divBdr>
                                    <w:top w:val="none" w:sz="0" w:space="0" w:color="auto"/>
                                    <w:left w:val="none" w:sz="0" w:space="0" w:color="auto"/>
                                    <w:bottom w:val="none" w:sz="0" w:space="0" w:color="auto"/>
                                    <w:right w:val="none" w:sz="0" w:space="0" w:color="auto"/>
                                  </w:divBdr>
                                  <w:divsChild>
                                    <w:div w:id="156843833">
                                      <w:marLeft w:val="0"/>
                                      <w:marRight w:val="0"/>
                                      <w:marTop w:val="0"/>
                                      <w:marBottom w:val="0"/>
                                      <w:divBdr>
                                        <w:top w:val="none" w:sz="0" w:space="0" w:color="auto"/>
                                        <w:left w:val="none" w:sz="0" w:space="0" w:color="auto"/>
                                        <w:bottom w:val="none" w:sz="0" w:space="0" w:color="auto"/>
                                        <w:right w:val="none" w:sz="0" w:space="0" w:color="auto"/>
                                      </w:divBdr>
                                      <w:divsChild>
                                        <w:div w:id="761150749">
                                          <w:marLeft w:val="0"/>
                                          <w:marRight w:val="0"/>
                                          <w:marTop w:val="0"/>
                                          <w:marBottom w:val="0"/>
                                          <w:divBdr>
                                            <w:top w:val="none" w:sz="0" w:space="0" w:color="auto"/>
                                            <w:left w:val="none" w:sz="0" w:space="0" w:color="auto"/>
                                            <w:bottom w:val="none" w:sz="0" w:space="0" w:color="auto"/>
                                            <w:right w:val="none" w:sz="0" w:space="0" w:color="auto"/>
                                          </w:divBdr>
                                          <w:divsChild>
                                            <w:div w:id="78330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5036311">
      <w:bodyDiv w:val="1"/>
      <w:marLeft w:val="0"/>
      <w:marRight w:val="0"/>
      <w:marTop w:val="0"/>
      <w:marBottom w:val="0"/>
      <w:divBdr>
        <w:top w:val="none" w:sz="0" w:space="0" w:color="auto"/>
        <w:left w:val="none" w:sz="0" w:space="0" w:color="auto"/>
        <w:bottom w:val="none" w:sz="0" w:space="0" w:color="auto"/>
        <w:right w:val="none" w:sz="0" w:space="0" w:color="auto"/>
      </w:divBdr>
    </w:div>
    <w:div w:id="1531142418">
      <w:bodyDiv w:val="1"/>
      <w:marLeft w:val="0"/>
      <w:marRight w:val="0"/>
      <w:marTop w:val="0"/>
      <w:marBottom w:val="0"/>
      <w:divBdr>
        <w:top w:val="none" w:sz="0" w:space="0" w:color="auto"/>
        <w:left w:val="none" w:sz="0" w:space="0" w:color="auto"/>
        <w:bottom w:val="none" w:sz="0" w:space="0" w:color="auto"/>
        <w:right w:val="none" w:sz="0" w:space="0" w:color="auto"/>
      </w:divBdr>
    </w:div>
    <w:div w:id="1563978916">
      <w:bodyDiv w:val="1"/>
      <w:marLeft w:val="0"/>
      <w:marRight w:val="0"/>
      <w:marTop w:val="0"/>
      <w:marBottom w:val="0"/>
      <w:divBdr>
        <w:top w:val="none" w:sz="0" w:space="0" w:color="auto"/>
        <w:left w:val="none" w:sz="0" w:space="0" w:color="auto"/>
        <w:bottom w:val="none" w:sz="0" w:space="0" w:color="auto"/>
        <w:right w:val="none" w:sz="0" w:space="0" w:color="auto"/>
      </w:divBdr>
    </w:div>
    <w:div w:id="1659965551">
      <w:bodyDiv w:val="1"/>
      <w:marLeft w:val="0"/>
      <w:marRight w:val="0"/>
      <w:marTop w:val="0"/>
      <w:marBottom w:val="0"/>
      <w:divBdr>
        <w:top w:val="none" w:sz="0" w:space="0" w:color="auto"/>
        <w:left w:val="none" w:sz="0" w:space="0" w:color="auto"/>
        <w:bottom w:val="none" w:sz="0" w:space="0" w:color="auto"/>
        <w:right w:val="none" w:sz="0" w:space="0" w:color="auto"/>
      </w:divBdr>
    </w:div>
    <w:div w:id="1662080030">
      <w:bodyDiv w:val="1"/>
      <w:marLeft w:val="0"/>
      <w:marRight w:val="0"/>
      <w:marTop w:val="0"/>
      <w:marBottom w:val="0"/>
      <w:divBdr>
        <w:top w:val="none" w:sz="0" w:space="0" w:color="auto"/>
        <w:left w:val="none" w:sz="0" w:space="0" w:color="auto"/>
        <w:bottom w:val="none" w:sz="0" w:space="0" w:color="auto"/>
        <w:right w:val="none" w:sz="0" w:space="0" w:color="auto"/>
      </w:divBdr>
    </w:div>
    <w:div w:id="1694720900">
      <w:bodyDiv w:val="1"/>
      <w:marLeft w:val="0"/>
      <w:marRight w:val="0"/>
      <w:marTop w:val="0"/>
      <w:marBottom w:val="0"/>
      <w:divBdr>
        <w:top w:val="none" w:sz="0" w:space="0" w:color="auto"/>
        <w:left w:val="none" w:sz="0" w:space="0" w:color="auto"/>
        <w:bottom w:val="none" w:sz="0" w:space="0" w:color="auto"/>
        <w:right w:val="none" w:sz="0" w:space="0" w:color="auto"/>
      </w:divBdr>
    </w:div>
    <w:div w:id="1747529447">
      <w:bodyDiv w:val="1"/>
      <w:marLeft w:val="0"/>
      <w:marRight w:val="0"/>
      <w:marTop w:val="0"/>
      <w:marBottom w:val="0"/>
      <w:divBdr>
        <w:top w:val="none" w:sz="0" w:space="0" w:color="auto"/>
        <w:left w:val="none" w:sz="0" w:space="0" w:color="auto"/>
        <w:bottom w:val="none" w:sz="0" w:space="0" w:color="auto"/>
        <w:right w:val="none" w:sz="0" w:space="0" w:color="auto"/>
      </w:divBdr>
    </w:div>
    <w:div w:id="1752970854">
      <w:bodyDiv w:val="1"/>
      <w:marLeft w:val="0"/>
      <w:marRight w:val="0"/>
      <w:marTop w:val="0"/>
      <w:marBottom w:val="0"/>
      <w:divBdr>
        <w:top w:val="none" w:sz="0" w:space="0" w:color="auto"/>
        <w:left w:val="none" w:sz="0" w:space="0" w:color="auto"/>
        <w:bottom w:val="none" w:sz="0" w:space="0" w:color="auto"/>
        <w:right w:val="none" w:sz="0" w:space="0" w:color="auto"/>
      </w:divBdr>
    </w:div>
    <w:div w:id="1761025945">
      <w:bodyDiv w:val="1"/>
      <w:marLeft w:val="0"/>
      <w:marRight w:val="0"/>
      <w:marTop w:val="0"/>
      <w:marBottom w:val="0"/>
      <w:divBdr>
        <w:top w:val="none" w:sz="0" w:space="0" w:color="auto"/>
        <w:left w:val="none" w:sz="0" w:space="0" w:color="auto"/>
        <w:bottom w:val="none" w:sz="0" w:space="0" w:color="auto"/>
        <w:right w:val="none" w:sz="0" w:space="0" w:color="auto"/>
      </w:divBdr>
    </w:div>
    <w:div w:id="1767730888">
      <w:bodyDiv w:val="1"/>
      <w:marLeft w:val="0"/>
      <w:marRight w:val="0"/>
      <w:marTop w:val="0"/>
      <w:marBottom w:val="0"/>
      <w:divBdr>
        <w:top w:val="none" w:sz="0" w:space="0" w:color="auto"/>
        <w:left w:val="none" w:sz="0" w:space="0" w:color="auto"/>
        <w:bottom w:val="none" w:sz="0" w:space="0" w:color="auto"/>
        <w:right w:val="none" w:sz="0" w:space="0" w:color="auto"/>
      </w:divBdr>
    </w:div>
    <w:div w:id="1850178334">
      <w:bodyDiv w:val="1"/>
      <w:marLeft w:val="0"/>
      <w:marRight w:val="0"/>
      <w:marTop w:val="0"/>
      <w:marBottom w:val="0"/>
      <w:divBdr>
        <w:top w:val="none" w:sz="0" w:space="0" w:color="auto"/>
        <w:left w:val="none" w:sz="0" w:space="0" w:color="auto"/>
        <w:bottom w:val="none" w:sz="0" w:space="0" w:color="auto"/>
        <w:right w:val="none" w:sz="0" w:space="0" w:color="auto"/>
      </w:divBdr>
    </w:div>
    <w:div w:id="1872381251">
      <w:bodyDiv w:val="1"/>
      <w:marLeft w:val="0"/>
      <w:marRight w:val="0"/>
      <w:marTop w:val="0"/>
      <w:marBottom w:val="0"/>
      <w:divBdr>
        <w:top w:val="none" w:sz="0" w:space="0" w:color="auto"/>
        <w:left w:val="none" w:sz="0" w:space="0" w:color="auto"/>
        <w:bottom w:val="none" w:sz="0" w:space="0" w:color="auto"/>
        <w:right w:val="none" w:sz="0" w:space="0" w:color="auto"/>
      </w:divBdr>
    </w:div>
    <w:div w:id="1879195469">
      <w:bodyDiv w:val="1"/>
      <w:marLeft w:val="0"/>
      <w:marRight w:val="0"/>
      <w:marTop w:val="0"/>
      <w:marBottom w:val="0"/>
      <w:divBdr>
        <w:top w:val="none" w:sz="0" w:space="0" w:color="auto"/>
        <w:left w:val="none" w:sz="0" w:space="0" w:color="auto"/>
        <w:bottom w:val="none" w:sz="0" w:space="0" w:color="auto"/>
        <w:right w:val="none" w:sz="0" w:space="0" w:color="auto"/>
      </w:divBdr>
    </w:div>
    <w:div w:id="1930112779">
      <w:bodyDiv w:val="1"/>
      <w:marLeft w:val="0"/>
      <w:marRight w:val="0"/>
      <w:marTop w:val="0"/>
      <w:marBottom w:val="0"/>
      <w:divBdr>
        <w:top w:val="none" w:sz="0" w:space="0" w:color="auto"/>
        <w:left w:val="none" w:sz="0" w:space="0" w:color="auto"/>
        <w:bottom w:val="none" w:sz="0" w:space="0" w:color="auto"/>
        <w:right w:val="none" w:sz="0" w:space="0" w:color="auto"/>
      </w:divBdr>
    </w:div>
    <w:div w:id="1996955876">
      <w:bodyDiv w:val="1"/>
      <w:marLeft w:val="0"/>
      <w:marRight w:val="0"/>
      <w:marTop w:val="0"/>
      <w:marBottom w:val="0"/>
      <w:divBdr>
        <w:top w:val="none" w:sz="0" w:space="0" w:color="auto"/>
        <w:left w:val="none" w:sz="0" w:space="0" w:color="auto"/>
        <w:bottom w:val="none" w:sz="0" w:space="0" w:color="auto"/>
        <w:right w:val="none" w:sz="0" w:space="0" w:color="auto"/>
      </w:divBdr>
    </w:div>
    <w:div w:id="2059667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C5bF0aHY+lGMPVdWZEEYPcbPvQ==">CgMxLjAyCGguZ2pkZ3hzOAByITEwaTVCd2czRGEtbFlVdW5qSzlkVXJuUlpTYXlQV0dieg==</go:docsCustomData>
</go:gDocsCustomXmlDataStorage>
</file>

<file path=customXml/itemProps1.xml><?xml version="1.0" encoding="utf-8"?>
<ds:datastoreItem xmlns:ds="http://schemas.openxmlformats.org/officeDocument/2006/customXml" ds:itemID="{C73BC2A8-C748-3F46-9737-80EC01E3EE2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516</TotalTime>
  <Pages>12</Pages>
  <Words>4893</Words>
  <Characters>27894</Characters>
  <Application>Microsoft Office Word</Application>
  <DocSecurity>0</DocSecurity>
  <Lines>232</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Riccardo Albanesi</dc:creator>
  <cp:lastModifiedBy>Emanuela Prati</cp:lastModifiedBy>
  <cp:revision>21</cp:revision>
  <cp:lastPrinted>2025-10-29T15:21:00Z</cp:lastPrinted>
  <dcterms:created xsi:type="dcterms:W3CDTF">2025-10-30T08:22:00Z</dcterms:created>
  <dcterms:modified xsi:type="dcterms:W3CDTF">2026-11-04T16:23:00Z</dcterms:modified>
</cp:coreProperties>
</file>