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70" w:type="dxa"/>
        <w:tblInd w:w="108" w:type="dxa"/>
        <w:tblLayout w:type="fixed"/>
        <w:tblLook w:val="04A0" w:firstRow="1" w:lastRow="0" w:firstColumn="1" w:lastColumn="0" w:noHBand="0" w:noVBand="1"/>
      </w:tblPr>
      <w:tblGrid>
        <w:gridCol w:w="9670"/>
      </w:tblGrid>
      <w:tr w:rsidR="00FE3440" w14:paraId="31EEA298" w14:textId="77777777">
        <w:trPr>
          <w:trHeight w:val="567"/>
        </w:trPr>
        <w:tc>
          <w:tcPr>
            <w:tcW w:w="9670" w:type="dxa"/>
            <w:tcBorders>
              <w:top w:val="single" w:sz="4" w:space="0" w:color="00A290"/>
            </w:tcBorders>
            <w:vAlign w:val="center"/>
          </w:tcPr>
          <w:p w14:paraId="56C2EB42" w14:textId="3D3BD79B" w:rsidR="00FE3440" w:rsidRPr="00EB4089" w:rsidRDefault="00337723">
            <w:pPr>
              <w:spacing w:before="240" w:after="0"/>
              <w:rPr>
                <w:rFonts w:cs="Arial"/>
                <w:bCs/>
                <w:color w:val="00A290"/>
                <w:sz w:val="32"/>
                <w:szCs w:val="32"/>
              </w:rPr>
            </w:pPr>
            <w:r w:rsidRPr="00EB4089">
              <w:rPr>
                <w:color w:val="00A290"/>
                <w:sz w:val="32"/>
                <w:szCs w:val="32"/>
              </w:rPr>
              <w:t xml:space="preserve">Lettera per il Cliente | </w:t>
            </w:r>
            <w:r w:rsidR="00231A37" w:rsidRPr="00EB4089">
              <w:rPr>
                <w:color w:val="00A290"/>
                <w:sz w:val="32"/>
                <w:szCs w:val="32"/>
              </w:rPr>
              <w:t>4</w:t>
            </w:r>
            <w:r w:rsidR="00D90A7C" w:rsidRPr="00EB4089">
              <w:rPr>
                <w:color w:val="00A290"/>
                <w:sz w:val="32"/>
                <w:szCs w:val="32"/>
              </w:rPr>
              <w:t xml:space="preserve"> </w:t>
            </w:r>
            <w:r w:rsidR="00231A37" w:rsidRPr="00EB4089">
              <w:rPr>
                <w:color w:val="00A290"/>
                <w:sz w:val="32"/>
                <w:szCs w:val="32"/>
              </w:rPr>
              <w:t>n</w:t>
            </w:r>
            <w:r w:rsidR="00A66BC3" w:rsidRPr="00EB4089">
              <w:rPr>
                <w:color w:val="00A290"/>
                <w:sz w:val="32"/>
                <w:szCs w:val="32"/>
              </w:rPr>
              <w:t>ovembre</w:t>
            </w:r>
            <w:r w:rsidRPr="00EB4089">
              <w:rPr>
                <w:color w:val="00A290"/>
                <w:sz w:val="32"/>
                <w:szCs w:val="32"/>
              </w:rPr>
              <w:t xml:space="preserve"> 2026</w:t>
            </w:r>
          </w:p>
          <w:p w14:paraId="0EC836E5" w14:textId="58B9F233" w:rsidR="00FE3440" w:rsidRPr="00EB4089" w:rsidRDefault="00EB4089">
            <w:pPr>
              <w:spacing w:line="480" w:lineRule="atLeast"/>
              <w:rPr>
                <w:rFonts w:cs="Arial"/>
                <w:color w:val="366DB3"/>
                <w:sz w:val="24"/>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EB4089">
              <w:rPr>
                <w:color w:val="00A290"/>
                <w:sz w:val="24"/>
              </w:rPr>
              <w:t>TFR NUOVI ASSUNTI: ADESIONE AUTOMATICA ALLA PREVIDENZA</w:t>
            </w:r>
            <w:r w:rsidRPr="00EB4089">
              <w:rPr>
                <w:rFonts w:eastAsia="Arial"/>
                <w:color w:val="1F4E79"/>
                <w:sz w:val="24"/>
              </w:rPr>
              <w:t xml:space="preserve"> </w:t>
            </w:r>
            <w:r w:rsidRPr="00EB4089">
              <w:rPr>
                <w:color w:val="00A290"/>
                <w:sz w:val="24"/>
              </w:rPr>
              <w:t>COMPLEMENTARE E MODULO TFR3</w:t>
            </w:r>
          </w:p>
        </w:tc>
      </w:tr>
    </w:tbl>
    <w:p w14:paraId="5D28E288" w14:textId="77777777" w:rsidR="00EB4089" w:rsidRPr="00A10392" w:rsidRDefault="00EB4089" w:rsidP="00EB4089">
      <w:pPr>
        <w:spacing w:after="0" w:line="360" w:lineRule="atLeast"/>
        <w:jc w:val="both"/>
        <w:rPr>
          <w:rFonts w:cs="Arial"/>
          <w:b/>
          <w:sz w:val="28"/>
          <w:szCs w:val="28"/>
        </w:rPr>
      </w:pPr>
    </w:p>
    <w:p w14:paraId="04875D7E" w14:textId="77777777" w:rsidR="00EB4089" w:rsidRPr="00A10392" w:rsidRDefault="00EB4089" w:rsidP="00EB4089">
      <w:pPr>
        <w:spacing w:after="0" w:line="360" w:lineRule="atLeast"/>
        <w:jc w:val="both"/>
        <w:rPr>
          <w:rFonts w:cs="Arial"/>
          <w:b/>
          <w:sz w:val="28"/>
          <w:szCs w:val="28"/>
        </w:rPr>
      </w:pPr>
    </w:p>
    <w:p w14:paraId="581A5555" w14:textId="77777777" w:rsidR="00EB4089" w:rsidRPr="00EC0723" w:rsidRDefault="00EB4089" w:rsidP="00EB4089">
      <w:pPr>
        <w:spacing w:line="480" w:lineRule="atLeast"/>
        <w:rPr>
          <w:rFonts w:cs="Arial"/>
          <w:b/>
          <w:i/>
          <w:sz w:val="28"/>
          <w:szCs w:val="28"/>
        </w:rPr>
      </w:pPr>
      <w:r w:rsidRPr="00EC0723">
        <w:rPr>
          <w:rFonts w:cs="Arial"/>
          <w:b/>
          <w:i/>
          <w:sz w:val="28"/>
          <w:szCs w:val="28"/>
        </w:rPr>
        <w:t>[Carta intestata dello Studio]</w:t>
      </w:r>
    </w:p>
    <w:p w14:paraId="05487E51" w14:textId="77777777" w:rsidR="00EB4089" w:rsidRPr="004B33AD" w:rsidRDefault="00EB4089" w:rsidP="00EB4089">
      <w:pPr>
        <w:spacing w:line="480" w:lineRule="atLeast"/>
        <w:rPr>
          <w:rFonts w:cs="Arial"/>
          <w:sz w:val="22"/>
          <w:szCs w:val="22"/>
        </w:rPr>
      </w:pPr>
    </w:p>
    <w:p w14:paraId="49229422" w14:textId="77777777" w:rsidR="00EB4089" w:rsidRDefault="00EB4089" w:rsidP="00EB4089">
      <w:pPr>
        <w:tabs>
          <w:tab w:val="center" w:pos="4678"/>
          <w:tab w:val="right" w:pos="9356"/>
        </w:tabs>
        <w:spacing w:line="320" w:lineRule="atLeast"/>
        <w:rPr>
          <w:rFonts w:cs="Arial"/>
          <w:sz w:val="22"/>
          <w:szCs w:val="22"/>
        </w:rPr>
      </w:pPr>
      <w:r>
        <w:rPr>
          <w:rFonts w:cs="Arial"/>
          <w:sz w:val="22"/>
          <w:szCs w:val="22"/>
        </w:rPr>
        <w:t xml:space="preserve">Spett.le </w:t>
      </w:r>
      <w:r w:rsidRPr="00D96982">
        <w:rPr>
          <w:rFonts w:cs="Arial"/>
          <w:i/>
          <w:sz w:val="22"/>
          <w:szCs w:val="22"/>
        </w:rPr>
        <w:fldChar w:fldCharType="begin"/>
      </w:r>
      <w:r w:rsidRPr="00D96982">
        <w:rPr>
          <w:rFonts w:cs="Arial"/>
          <w:i/>
          <w:sz w:val="22"/>
          <w:szCs w:val="22"/>
        </w:rPr>
        <w:instrText>MACROBUTTON NoMacro [Fare clic qui e digitare]</w:instrText>
      </w:r>
      <w:r w:rsidRPr="00D96982">
        <w:rPr>
          <w:rFonts w:cs="Arial"/>
          <w:i/>
          <w:sz w:val="22"/>
          <w:szCs w:val="22"/>
        </w:rPr>
        <w:fldChar w:fldCharType="end"/>
      </w:r>
      <w:r w:rsidRPr="00D96982">
        <w:rPr>
          <w:rFonts w:cs="Arial"/>
          <w:i/>
          <w:sz w:val="22"/>
          <w:szCs w:val="22"/>
        </w:rPr>
        <w:t xml:space="preserve"> </w:t>
      </w:r>
    </w:p>
    <w:p w14:paraId="4E99CAB8" w14:textId="77777777" w:rsidR="00EB4089" w:rsidRPr="00D96982" w:rsidRDefault="00EB4089" w:rsidP="00EB4089">
      <w:pPr>
        <w:tabs>
          <w:tab w:val="center" w:pos="4678"/>
          <w:tab w:val="right" w:pos="9356"/>
        </w:tabs>
        <w:spacing w:line="320" w:lineRule="atLeast"/>
        <w:rPr>
          <w:rFonts w:cs="Arial"/>
          <w:i/>
          <w:sz w:val="22"/>
          <w:szCs w:val="22"/>
        </w:rPr>
      </w:pPr>
      <w:r w:rsidRPr="00D96982">
        <w:rPr>
          <w:rFonts w:cs="Arial"/>
          <w:i/>
          <w:sz w:val="22"/>
          <w:szCs w:val="22"/>
        </w:rPr>
        <w:fldChar w:fldCharType="begin"/>
      </w:r>
      <w:r w:rsidRPr="00D96982">
        <w:rPr>
          <w:rFonts w:cs="Arial"/>
          <w:i/>
          <w:sz w:val="22"/>
          <w:szCs w:val="22"/>
        </w:rPr>
        <w:instrText>MACROBUTTON NoMacro [Fare clic qui e digitare la sede]</w:instrText>
      </w:r>
      <w:r w:rsidRPr="00D96982">
        <w:rPr>
          <w:rFonts w:cs="Arial"/>
          <w:i/>
          <w:sz w:val="22"/>
          <w:szCs w:val="22"/>
        </w:rPr>
        <w:fldChar w:fldCharType="end"/>
      </w:r>
    </w:p>
    <w:p w14:paraId="7D02E409" w14:textId="77777777" w:rsidR="00EB4089" w:rsidRDefault="00EB4089" w:rsidP="00EB4089">
      <w:pPr>
        <w:tabs>
          <w:tab w:val="center" w:pos="4678"/>
          <w:tab w:val="right" w:pos="9356"/>
        </w:tabs>
        <w:spacing w:line="320" w:lineRule="atLeast"/>
        <w:rPr>
          <w:rFonts w:cs="Arial"/>
          <w:sz w:val="22"/>
          <w:szCs w:val="22"/>
        </w:rPr>
      </w:pPr>
    </w:p>
    <w:p w14:paraId="72F31C63" w14:textId="77777777" w:rsidR="00EB4089" w:rsidRDefault="00EB4089" w:rsidP="00EB4089">
      <w:pPr>
        <w:tabs>
          <w:tab w:val="center" w:pos="4678"/>
          <w:tab w:val="right" w:pos="9356"/>
        </w:tabs>
        <w:spacing w:line="320" w:lineRule="atLeast"/>
        <w:rPr>
          <w:rFonts w:cs="Arial"/>
          <w:i/>
          <w:sz w:val="22"/>
          <w:szCs w:val="22"/>
        </w:rPr>
      </w:pPr>
      <w:r w:rsidRPr="00D96982">
        <w:rPr>
          <w:rFonts w:cs="Arial"/>
          <w:i/>
          <w:sz w:val="22"/>
          <w:szCs w:val="22"/>
        </w:rPr>
        <w:fldChar w:fldCharType="begin"/>
      </w:r>
      <w:r w:rsidRPr="00D96982">
        <w:rPr>
          <w:rFonts w:cs="Arial"/>
          <w:i/>
          <w:sz w:val="22"/>
          <w:szCs w:val="22"/>
        </w:rPr>
        <w:instrText>MACROBUTTON NoMacro [Fare clic qui e digitare luogo e data]</w:instrText>
      </w:r>
      <w:r w:rsidRPr="00D96982">
        <w:rPr>
          <w:rFonts w:cs="Arial"/>
          <w:i/>
          <w:sz w:val="22"/>
          <w:szCs w:val="22"/>
        </w:rPr>
        <w:fldChar w:fldCharType="end"/>
      </w:r>
    </w:p>
    <w:p w14:paraId="7394EA30" w14:textId="77777777" w:rsidR="00EB4089" w:rsidRDefault="00EB4089" w:rsidP="00EB4089">
      <w:pPr>
        <w:spacing w:after="0" w:line="360" w:lineRule="atLeast"/>
        <w:jc w:val="both"/>
        <w:rPr>
          <w:rFonts w:cs="Arial"/>
          <w:b/>
          <w:sz w:val="28"/>
          <w:szCs w:val="28"/>
        </w:rPr>
      </w:pPr>
    </w:p>
    <w:p w14:paraId="32E926C1" w14:textId="77777777" w:rsidR="00EB4089" w:rsidRDefault="00EB4089" w:rsidP="00EB4089">
      <w:pPr>
        <w:spacing w:after="0" w:line="360" w:lineRule="atLeast"/>
        <w:jc w:val="both"/>
        <w:rPr>
          <w:rFonts w:cs="Arial"/>
          <w:b/>
          <w:sz w:val="28"/>
          <w:szCs w:val="28"/>
        </w:rPr>
      </w:pPr>
    </w:p>
    <w:p w14:paraId="69C9C6E7" w14:textId="7BF3C0F3" w:rsidR="00A66BC3" w:rsidRPr="00EB4089" w:rsidRDefault="00337723" w:rsidP="00A66BC3">
      <w:pPr>
        <w:spacing w:before="40" w:after="160" w:line="259" w:lineRule="auto"/>
        <w:rPr>
          <w:b/>
          <w:sz w:val="28"/>
          <w:szCs w:val="28"/>
        </w:rPr>
      </w:pPr>
      <w:r w:rsidRPr="00EB4089">
        <w:rPr>
          <w:b/>
          <w:sz w:val="28"/>
          <w:szCs w:val="28"/>
        </w:rPr>
        <w:t xml:space="preserve">OGGETTO: </w:t>
      </w:r>
      <w:r w:rsidR="00A66BC3" w:rsidRPr="00EB4089">
        <w:rPr>
          <w:rFonts w:eastAsia="Arial"/>
          <w:b/>
          <w:color w:val="222222"/>
          <w:sz w:val="28"/>
          <w:szCs w:val="28"/>
        </w:rPr>
        <w:t xml:space="preserve">Gestione del TFR per i lavoratori assunti dal 1° luglio 2026 – </w:t>
      </w:r>
      <w:r w:rsidR="00231A37" w:rsidRPr="00EB4089">
        <w:rPr>
          <w:rFonts w:eastAsia="Arial"/>
          <w:b/>
          <w:color w:val="222222"/>
          <w:sz w:val="28"/>
          <w:szCs w:val="28"/>
        </w:rPr>
        <w:t>A</w:t>
      </w:r>
      <w:r w:rsidR="00A66BC3" w:rsidRPr="00EB4089">
        <w:rPr>
          <w:rFonts w:eastAsia="Arial"/>
          <w:b/>
          <w:color w:val="222222"/>
          <w:sz w:val="28"/>
          <w:szCs w:val="28"/>
        </w:rPr>
        <w:t>desione automatica alla previdenza complementare, informativa al lavoratore e modulo TFR3</w:t>
      </w:r>
    </w:p>
    <w:p w14:paraId="7CE08692" w14:textId="77777777" w:rsidR="00A66BC3" w:rsidRPr="00EB4089" w:rsidRDefault="00A66BC3" w:rsidP="00EB4089">
      <w:pPr>
        <w:spacing w:after="80" w:line="276" w:lineRule="auto"/>
        <w:rPr>
          <w:sz w:val="24"/>
        </w:rPr>
      </w:pPr>
      <w:r w:rsidRPr="00EB4089">
        <w:rPr>
          <w:rFonts w:eastAsia="Arial"/>
          <w:b/>
          <w:sz w:val="24"/>
        </w:rPr>
        <w:t>Premessa</w:t>
      </w:r>
    </w:p>
    <w:p w14:paraId="4C979C81" w14:textId="77777777" w:rsidR="00A66BC3" w:rsidRPr="00EB4089" w:rsidRDefault="00A66BC3" w:rsidP="00EB4089">
      <w:pPr>
        <w:spacing w:line="276" w:lineRule="auto"/>
        <w:jc w:val="both"/>
        <w:rPr>
          <w:sz w:val="22"/>
          <w:szCs w:val="22"/>
        </w:rPr>
      </w:pPr>
      <w:r w:rsidRPr="00EB4089">
        <w:rPr>
          <w:rFonts w:eastAsia="Arial"/>
          <w:color w:val="222222"/>
          <w:sz w:val="22"/>
          <w:szCs w:val="22"/>
        </w:rPr>
        <w:t xml:space="preserve">Per le assunzioni effettuate dal 1° luglio 2026 la destinazione del TFR non segue più le regole del conferimento tacito in vigore dal 2007. La Legge di Bilancio 2026 (art. 1, comma 204, L. 30 dicembre 2025, n. 199) ha riscritto l'art. 8 del </w:t>
      </w:r>
      <w:proofErr w:type="spellStart"/>
      <w:r w:rsidRPr="00EB4089">
        <w:rPr>
          <w:rFonts w:eastAsia="Arial"/>
          <w:color w:val="222222"/>
          <w:sz w:val="22"/>
          <w:szCs w:val="22"/>
        </w:rPr>
        <w:t>D.Lgs.</w:t>
      </w:r>
      <w:proofErr w:type="spellEnd"/>
      <w:r w:rsidRPr="00EB4089">
        <w:rPr>
          <w:rFonts w:eastAsia="Arial"/>
          <w:color w:val="222222"/>
          <w:sz w:val="22"/>
          <w:szCs w:val="22"/>
        </w:rPr>
        <w:t xml:space="preserve"> n. 252/2005 introducendo un meccanismo di adesione automatica alla previdenza complementare per i lavoratori dipendenti del settore privato, esclusi i lavoratori domestici.</w:t>
      </w:r>
    </w:p>
    <w:p w14:paraId="6F5BD84D" w14:textId="77777777" w:rsidR="00A66BC3" w:rsidRPr="00EB4089" w:rsidRDefault="00A66BC3" w:rsidP="00EB4089">
      <w:pPr>
        <w:spacing w:line="276" w:lineRule="auto"/>
        <w:jc w:val="both"/>
        <w:rPr>
          <w:sz w:val="22"/>
          <w:szCs w:val="22"/>
        </w:rPr>
      </w:pPr>
      <w:r w:rsidRPr="00EB4089">
        <w:rPr>
          <w:rFonts w:eastAsia="Arial"/>
          <w:color w:val="222222"/>
          <w:sz w:val="22"/>
          <w:szCs w:val="22"/>
        </w:rPr>
        <w:t>In pratica, se il lavoratore non compie una scelta diversa entro 60 giorni dall'assunzione, viene iscritto al fondo pensione previsto dal contratto collettivo e l'azienda deve versare a quel fondo il TFR maturando e la contribuzione prevista dagli accordi, con effetto dalla data di assunzione.</w:t>
      </w:r>
    </w:p>
    <w:p w14:paraId="31860134" w14:textId="77777777" w:rsidR="00A66BC3" w:rsidRDefault="00A66BC3" w:rsidP="00EB4089">
      <w:pPr>
        <w:spacing w:line="276" w:lineRule="auto"/>
        <w:jc w:val="both"/>
        <w:rPr>
          <w:rFonts w:eastAsia="Arial"/>
          <w:color w:val="222222"/>
          <w:sz w:val="22"/>
          <w:szCs w:val="22"/>
        </w:rPr>
      </w:pPr>
      <w:r w:rsidRPr="00EB4089">
        <w:rPr>
          <w:rFonts w:eastAsia="Arial"/>
          <w:color w:val="222222"/>
          <w:sz w:val="22"/>
          <w:szCs w:val="22"/>
        </w:rPr>
        <w:t>Per l'azienda il punto critico non è la scelta del lavoratore, che resta libera, ma la correttezza della procedura: informativa completa al momento dell'assunzione, raccolta del modulo TFR3, rispetto del termine di 60 giorni e avvio puntuale dei versamenti al fondo. Errori o ritardi in questa fase si traducono in versamenti arretrati e in possibili contestazioni da parte del lavoratore o del fondo.</w:t>
      </w:r>
    </w:p>
    <w:p w14:paraId="019B6849" w14:textId="77777777" w:rsidR="00EB4089" w:rsidRPr="00EB4089" w:rsidRDefault="00EB4089" w:rsidP="00EB4089">
      <w:pPr>
        <w:spacing w:line="276" w:lineRule="auto"/>
        <w:jc w:val="both"/>
        <w:rPr>
          <w:sz w:val="22"/>
          <w:szCs w:val="22"/>
        </w:rPr>
      </w:pPr>
    </w:p>
    <w:tbl>
      <w:tblPr>
        <w:tblW w:w="0" w:type="auto"/>
        <w:jc w:val="center"/>
        <w:tblLayout w:type="fixed"/>
        <w:tblLook w:val="04A0" w:firstRow="1" w:lastRow="0" w:firstColumn="1" w:lastColumn="0" w:noHBand="0" w:noVBand="1"/>
      </w:tblPr>
      <w:tblGrid>
        <w:gridCol w:w="9638"/>
      </w:tblGrid>
      <w:tr w:rsidR="00A66BC3" w:rsidRPr="00A66BC3" w14:paraId="0EACDA5F" w14:textId="77777777" w:rsidTr="00EB4089">
        <w:trPr>
          <w:tblHeader/>
          <w:jc w:val="center"/>
        </w:trPr>
        <w:tc>
          <w:tcPr>
            <w:tcW w:w="9638" w:type="dxa"/>
            <w:tcBorders>
              <w:top w:val="single" w:sz="4" w:space="0" w:color="auto"/>
              <w:left w:val="single" w:sz="4" w:space="0" w:color="auto"/>
              <w:bottom w:val="single" w:sz="4" w:space="0" w:color="auto"/>
              <w:right w:val="single" w:sz="4" w:space="0" w:color="auto"/>
            </w:tcBorders>
            <w:tcMar>
              <w:top w:w="130" w:type="dxa"/>
              <w:left w:w="160" w:type="dxa"/>
              <w:bottom w:w="130" w:type="dxa"/>
              <w:right w:w="160" w:type="dxa"/>
            </w:tcMar>
          </w:tcPr>
          <w:p w14:paraId="7CE8EBD9" w14:textId="77777777" w:rsidR="00A66BC3" w:rsidRPr="00EB4089" w:rsidRDefault="00A66BC3" w:rsidP="00EB4089">
            <w:pPr>
              <w:spacing w:after="60" w:line="276" w:lineRule="auto"/>
              <w:jc w:val="both"/>
              <w:rPr>
                <w:sz w:val="22"/>
                <w:szCs w:val="22"/>
              </w:rPr>
            </w:pPr>
            <w:r w:rsidRPr="00EB4089">
              <w:rPr>
                <w:rFonts w:eastAsia="Arial"/>
                <w:b/>
                <w:sz w:val="22"/>
                <w:szCs w:val="22"/>
              </w:rPr>
              <w:t xml:space="preserve">RICORDA. </w:t>
            </w:r>
            <w:r w:rsidRPr="00EB4089">
              <w:rPr>
                <w:rFonts w:eastAsia="Arial"/>
                <w:sz w:val="22"/>
                <w:szCs w:val="22"/>
              </w:rPr>
              <w:t>Le nuove regole riguardano solo i rapporti di lavoro iniziati dal 1° luglio 2026. Per i lavoratori già in forza al 30 giugno 2026 restano valide le scelte già effettuate con i moduli TFR1 o TFR2; la nuova disciplina si applica a loro solo in caso di nuovo rapporto instaurato dal 1° luglio 2026.</w:t>
            </w:r>
          </w:p>
        </w:tc>
      </w:tr>
    </w:tbl>
    <w:p w14:paraId="18422FC7" w14:textId="77777777" w:rsidR="00A66BC3" w:rsidRPr="00A66BC3" w:rsidRDefault="00A66BC3" w:rsidP="00A66BC3">
      <w:pPr>
        <w:spacing w:after="20"/>
      </w:pPr>
    </w:p>
    <w:p w14:paraId="3E2FA0C9" w14:textId="77777777" w:rsidR="00A66BC3" w:rsidRPr="00EB4089" w:rsidRDefault="00A66BC3" w:rsidP="00EB4089">
      <w:pPr>
        <w:spacing w:after="80" w:line="276" w:lineRule="auto"/>
        <w:rPr>
          <w:rFonts w:eastAsia="Arial"/>
          <w:b/>
          <w:sz w:val="24"/>
        </w:rPr>
      </w:pPr>
      <w:r w:rsidRPr="00EB4089">
        <w:rPr>
          <w:rFonts w:eastAsia="Arial"/>
          <w:b/>
          <w:sz w:val="24"/>
        </w:rPr>
        <w:t>Il quadro in sintesi</w:t>
      </w:r>
    </w:p>
    <w:p w14:paraId="44382167" w14:textId="77777777" w:rsidR="00A66BC3" w:rsidRDefault="00A66BC3" w:rsidP="00EB4089">
      <w:pPr>
        <w:spacing w:line="276" w:lineRule="auto"/>
        <w:jc w:val="both"/>
        <w:rPr>
          <w:rFonts w:eastAsia="Arial"/>
          <w:sz w:val="22"/>
          <w:szCs w:val="22"/>
        </w:rPr>
      </w:pPr>
      <w:r w:rsidRPr="00EB4089">
        <w:rPr>
          <w:rFonts w:eastAsia="Arial"/>
          <w:sz w:val="22"/>
          <w:szCs w:val="22"/>
        </w:rPr>
        <w:t>La gestione cambia a seconda che il lavoratore sia alla prima occupazione oppure abbia già avuto rapporti di lavoro, e in questo secondo caso a seconda che sia già iscritto o meno a un fondo pensione con conferimento del TFR.</w:t>
      </w:r>
    </w:p>
    <w:p w14:paraId="00985E76" w14:textId="77777777" w:rsidR="00EB4089" w:rsidRPr="00EB4089" w:rsidRDefault="00EB4089" w:rsidP="00EB4089">
      <w:pPr>
        <w:spacing w:line="276" w:lineRule="auto"/>
        <w:jc w:val="both"/>
        <w:rPr>
          <w:sz w:val="22"/>
          <w:szCs w:val="22"/>
        </w:rPr>
      </w:pPr>
    </w:p>
    <w:tbl>
      <w:tblPr>
        <w:tblStyle w:val="Grigliatabella"/>
        <w:tblW w:w="9922" w:type="dxa"/>
        <w:jc w:val="center"/>
        <w:tblLayout w:type="fixed"/>
        <w:tblLook w:val="04A0" w:firstRow="1" w:lastRow="0" w:firstColumn="1" w:lastColumn="0" w:noHBand="0" w:noVBand="1"/>
      </w:tblPr>
      <w:tblGrid>
        <w:gridCol w:w="2552"/>
        <w:gridCol w:w="3401"/>
        <w:gridCol w:w="3969"/>
      </w:tblGrid>
      <w:tr w:rsidR="00A66BC3" w14:paraId="01410660" w14:textId="77777777" w:rsidTr="00800DEF">
        <w:trPr>
          <w:tblHeader/>
          <w:jc w:val="center"/>
        </w:trPr>
        <w:tc>
          <w:tcPr>
            <w:tcW w:w="2552" w:type="dxa"/>
            <w:tcMar>
              <w:top w:w="80" w:type="dxa"/>
              <w:left w:w="85" w:type="dxa"/>
              <w:bottom w:w="80" w:type="dxa"/>
              <w:right w:w="85" w:type="dxa"/>
            </w:tcMar>
          </w:tcPr>
          <w:p w14:paraId="386632DA" w14:textId="77777777" w:rsidR="00A66BC3" w:rsidRPr="00A66BC3" w:rsidRDefault="00A66BC3" w:rsidP="008E69F2">
            <w:pPr>
              <w:spacing w:after="20"/>
            </w:pPr>
            <w:r w:rsidRPr="00A66BC3">
              <w:rPr>
                <w:rFonts w:eastAsia="Arial"/>
                <w:b/>
                <w:sz w:val="17"/>
              </w:rPr>
              <w:t>Situazione del lavor</w:t>
            </w:r>
            <w:r w:rsidRPr="00A66BC3">
              <w:rPr>
                <w:rFonts w:eastAsia="Arial"/>
                <w:b/>
                <w:sz w:val="17"/>
              </w:rPr>
              <w:t>a</w:t>
            </w:r>
            <w:r w:rsidRPr="00A66BC3">
              <w:rPr>
                <w:rFonts w:eastAsia="Arial"/>
                <w:b/>
                <w:sz w:val="17"/>
              </w:rPr>
              <w:t>tore</w:t>
            </w:r>
          </w:p>
        </w:tc>
        <w:tc>
          <w:tcPr>
            <w:tcW w:w="3401" w:type="dxa"/>
            <w:tcMar>
              <w:top w:w="80" w:type="dxa"/>
              <w:left w:w="85" w:type="dxa"/>
              <w:bottom w:w="80" w:type="dxa"/>
              <w:right w:w="85" w:type="dxa"/>
            </w:tcMar>
          </w:tcPr>
          <w:p w14:paraId="43B9A525" w14:textId="77777777" w:rsidR="00A66BC3" w:rsidRPr="00A66BC3" w:rsidRDefault="00A66BC3" w:rsidP="008E69F2">
            <w:pPr>
              <w:spacing w:after="20"/>
            </w:pPr>
            <w:r w:rsidRPr="00A66BC3">
              <w:rPr>
                <w:rFonts w:eastAsia="Arial"/>
                <w:b/>
                <w:sz w:val="17"/>
              </w:rPr>
              <w:t>Cosa accade se non sceglie entro 60 giorni</w:t>
            </w:r>
          </w:p>
        </w:tc>
        <w:tc>
          <w:tcPr>
            <w:tcW w:w="3969" w:type="dxa"/>
            <w:tcMar>
              <w:top w:w="80" w:type="dxa"/>
              <w:left w:w="85" w:type="dxa"/>
              <w:bottom w:w="80" w:type="dxa"/>
              <w:right w:w="85" w:type="dxa"/>
            </w:tcMar>
          </w:tcPr>
          <w:p w14:paraId="44014F03" w14:textId="77777777" w:rsidR="00A66BC3" w:rsidRPr="00A66BC3" w:rsidRDefault="00A66BC3" w:rsidP="008E69F2">
            <w:pPr>
              <w:spacing w:after="20"/>
            </w:pPr>
            <w:r w:rsidRPr="00A66BC3">
              <w:rPr>
                <w:rFonts w:eastAsia="Arial"/>
                <w:b/>
                <w:sz w:val="17"/>
              </w:rPr>
              <w:t>Scelte possibili entro 60 giorni</w:t>
            </w:r>
          </w:p>
        </w:tc>
      </w:tr>
      <w:tr w:rsidR="00A66BC3" w14:paraId="4DDE2806" w14:textId="77777777" w:rsidTr="00800DEF">
        <w:trPr>
          <w:jc w:val="center"/>
        </w:trPr>
        <w:tc>
          <w:tcPr>
            <w:tcW w:w="2552" w:type="dxa"/>
            <w:tcMar>
              <w:top w:w="80" w:type="dxa"/>
              <w:left w:w="85" w:type="dxa"/>
              <w:bottom w:w="80" w:type="dxa"/>
              <w:right w:w="85" w:type="dxa"/>
            </w:tcMar>
          </w:tcPr>
          <w:p w14:paraId="369E5403" w14:textId="77777777" w:rsidR="00A66BC3" w:rsidRDefault="00A66BC3" w:rsidP="008E69F2">
            <w:pPr>
              <w:spacing w:after="20"/>
            </w:pPr>
            <w:r>
              <w:rPr>
                <w:rFonts w:eastAsia="Arial"/>
                <w:b/>
                <w:color w:val="222222"/>
                <w:sz w:val="17"/>
              </w:rPr>
              <w:t>Prima assunzione</w:t>
            </w:r>
          </w:p>
        </w:tc>
        <w:tc>
          <w:tcPr>
            <w:tcW w:w="3401" w:type="dxa"/>
            <w:tcMar>
              <w:top w:w="80" w:type="dxa"/>
              <w:left w:w="85" w:type="dxa"/>
              <w:bottom w:w="80" w:type="dxa"/>
              <w:right w:w="85" w:type="dxa"/>
            </w:tcMar>
          </w:tcPr>
          <w:p w14:paraId="7309C756" w14:textId="77777777" w:rsidR="00A66BC3" w:rsidRDefault="00A66BC3" w:rsidP="008E69F2">
            <w:pPr>
              <w:spacing w:after="20"/>
            </w:pPr>
            <w:r>
              <w:rPr>
                <w:rFonts w:eastAsia="Arial"/>
                <w:color w:val="222222"/>
                <w:sz w:val="17"/>
              </w:rPr>
              <w:t>Adesione automatica al fondo pensione previsto dal CCNL o dagli accordi collettivi applicati in azienda: conferimento dell'int</w:t>
            </w:r>
            <w:r>
              <w:rPr>
                <w:rFonts w:eastAsia="Arial"/>
                <w:color w:val="222222"/>
                <w:sz w:val="17"/>
              </w:rPr>
              <w:t>e</w:t>
            </w:r>
            <w:r>
              <w:rPr>
                <w:rFonts w:eastAsia="Arial"/>
                <w:color w:val="222222"/>
                <w:sz w:val="17"/>
              </w:rPr>
              <w:t>ro TFR maturando e della contribuzione a carico di datore e lavoratore nelle misure degli accordi.</w:t>
            </w:r>
          </w:p>
        </w:tc>
        <w:tc>
          <w:tcPr>
            <w:tcW w:w="3969" w:type="dxa"/>
            <w:tcMar>
              <w:top w:w="80" w:type="dxa"/>
              <w:left w:w="85" w:type="dxa"/>
              <w:bottom w:w="80" w:type="dxa"/>
              <w:right w:w="85" w:type="dxa"/>
            </w:tcMar>
          </w:tcPr>
          <w:p w14:paraId="59312826" w14:textId="77777777" w:rsidR="00A66BC3" w:rsidRDefault="00A66BC3" w:rsidP="008E69F2">
            <w:pPr>
              <w:spacing w:after="20"/>
            </w:pPr>
            <w:r>
              <w:rPr>
                <w:rFonts w:eastAsia="Arial"/>
                <w:color w:val="222222"/>
                <w:sz w:val="17"/>
              </w:rPr>
              <w:t>Rinunciare all'adesione automatica e mantenere il TFR secondo l'art. 2120 c.c. (in azienda o al Fo</w:t>
            </w:r>
            <w:r>
              <w:rPr>
                <w:rFonts w:eastAsia="Arial"/>
                <w:color w:val="222222"/>
                <w:sz w:val="17"/>
              </w:rPr>
              <w:t>n</w:t>
            </w:r>
            <w:r>
              <w:rPr>
                <w:rFonts w:eastAsia="Arial"/>
                <w:color w:val="222222"/>
                <w:sz w:val="17"/>
              </w:rPr>
              <w:t>do di Tesoreria INPS, se dovuto); oppure conferire il TFR a un'altra forma pensionistica liberamente scelta.</w:t>
            </w:r>
          </w:p>
        </w:tc>
      </w:tr>
      <w:tr w:rsidR="00A66BC3" w14:paraId="568E8FC5" w14:textId="77777777" w:rsidTr="00800DEF">
        <w:trPr>
          <w:jc w:val="center"/>
        </w:trPr>
        <w:tc>
          <w:tcPr>
            <w:tcW w:w="2552" w:type="dxa"/>
            <w:tcMar>
              <w:top w:w="80" w:type="dxa"/>
              <w:left w:w="85" w:type="dxa"/>
              <w:bottom w:w="80" w:type="dxa"/>
              <w:right w:w="85" w:type="dxa"/>
            </w:tcMar>
          </w:tcPr>
          <w:p w14:paraId="5EB24F6F" w14:textId="77777777" w:rsidR="00A66BC3" w:rsidRDefault="00A66BC3" w:rsidP="008E69F2">
            <w:pPr>
              <w:spacing w:after="20"/>
            </w:pPr>
            <w:r>
              <w:rPr>
                <w:rFonts w:eastAsia="Arial"/>
                <w:b/>
                <w:color w:val="222222"/>
                <w:sz w:val="17"/>
              </w:rPr>
              <w:lastRenderedPageBreak/>
              <w:t>Non prima assunzione, già iscritto a un fondo con ve</w:t>
            </w:r>
            <w:r>
              <w:rPr>
                <w:rFonts w:eastAsia="Arial"/>
                <w:b/>
                <w:color w:val="222222"/>
                <w:sz w:val="17"/>
              </w:rPr>
              <w:t>r</w:t>
            </w:r>
            <w:r>
              <w:rPr>
                <w:rFonts w:eastAsia="Arial"/>
                <w:b/>
                <w:color w:val="222222"/>
                <w:sz w:val="17"/>
              </w:rPr>
              <w:t>samento del TFR</w:t>
            </w:r>
          </w:p>
        </w:tc>
        <w:tc>
          <w:tcPr>
            <w:tcW w:w="3401" w:type="dxa"/>
            <w:tcMar>
              <w:top w:w="80" w:type="dxa"/>
              <w:left w:w="85" w:type="dxa"/>
              <w:bottom w:w="80" w:type="dxa"/>
              <w:right w:w="85" w:type="dxa"/>
            </w:tcMar>
          </w:tcPr>
          <w:p w14:paraId="799E4CAF" w14:textId="77777777" w:rsidR="00A66BC3" w:rsidRDefault="00A66BC3" w:rsidP="008E69F2">
            <w:pPr>
              <w:spacing w:after="20"/>
            </w:pPr>
            <w:r>
              <w:rPr>
                <w:rFonts w:eastAsia="Arial"/>
                <w:color w:val="222222"/>
                <w:sz w:val="17"/>
              </w:rPr>
              <w:t>Adesione automatica al fondo pensione previsto dagli accordi collettivi applicati in azienda.</w:t>
            </w:r>
          </w:p>
        </w:tc>
        <w:tc>
          <w:tcPr>
            <w:tcW w:w="3969" w:type="dxa"/>
            <w:tcMar>
              <w:top w:w="80" w:type="dxa"/>
              <w:left w:w="85" w:type="dxa"/>
              <w:bottom w:w="80" w:type="dxa"/>
              <w:right w:w="85" w:type="dxa"/>
            </w:tcMar>
          </w:tcPr>
          <w:p w14:paraId="48F0BCFA" w14:textId="77777777" w:rsidR="00A66BC3" w:rsidRDefault="00A66BC3" w:rsidP="008E69F2">
            <w:pPr>
              <w:spacing w:after="20"/>
            </w:pPr>
            <w:r>
              <w:rPr>
                <w:rFonts w:eastAsia="Arial"/>
                <w:color w:val="222222"/>
                <w:sz w:val="17"/>
              </w:rPr>
              <w:t>Indicare la forma pensionistica (anche quella già in essere) a cui conferire il TFR maturando. Non è ammesso il mantenimento del TFR in azienda, salvo che la precedente posizione sia stata int</w:t>
            </w:r>
            <w:r>
              <w:rPr>
                <w:rFonts w:eastAsia="Arial"/>
                <w:color w:val="222222"/>
                <w:sz w:val="17"/>
              </w:rPr>
              <w:t>e</w:t>
            </w:r>
            <w:r>
              <w:rPr>
                <w:rFonts w:eastAsia="Arial"/>
                <w:color w:val="222222"/>
                <w:sz w:val="17"/>
              </w:rPr>
              <w:t>gralmente riscattata.</w:t>
            </w:r>
          </w:p>
        </w:tc>
      </w:tr>
      <w:tr w:rsidR="00A66BC3" w14:paraId="79598033" w14:textId="77777777" w:rsidTr="00800DEF">
        <w:trPr>
          <w:jc w:val="center"/>
        </w:trPr>
        <w:tc>
          <w:tcPr>
            <w:tcW w:w="2552" w:type="dxa"/>
            <w:tcMar>
              <w:top w:w="80" w:type="dxa"/>
              <w:left w:w="85" w:type="dxa"/>
              <w:bottom w:w="80" w:type="dxa"/>
              <w:right w:w="85" w:type="dxa"/>
            </w:tcMar>
          </w:tcPr>
          <w:p w14:paraId="362E6750" w14:textId="77777777" w:rsidR="00A66BC3" w:rsidRDefault="00A66BC3" w:rsidP="008E69F2">
            <w:pPr>
              <w:spacing w:after="20"/>
            </w:pPr>
            <w:r>
              <w:rPr>
                <w:rFonts w:eastAsia="Arial"/>
                <w:b/>
                <w:color w:val="222222"/>
                <w:sz w:val="17"/>
              </w:rPr>
              <w:t>Non prima assunzione, non iscritto a un fondo con ve</w:t>
            </w:r>
            <w:r>
              <w:rPr>
                <w:rFonts w:eastAsia="Arial"/>
                <w:b/>
                <w:color w:val="222222"/>
                <w:sz w:val="17"/>
              </w:rPr>
              <w:t>r</w:t>
            </w:r>
            <w:r>
              <w:rPr>
                <w:rFonts w:eastAsia="Arial"/>
                <w:b/>
                <w:color w:val="222222"/>
                <w:sz w:val="17"/>
              </w:rPr>
              <w:t>samento del TFR</w:t>
            </w:r>
          </w:p>
        </w:tc>
        <w:tc>
          <w:tcPr>
            <w:tcW w:w="3401" w:type="dxa"/>
            <w:tcMar>
              <w:top w:w="80" w:type="dxa"/>
              <w:left w:w="85" w:type="dxa"/>
              <w:bottom w:w="80" w:type="dxa"/>
              <w:right w:w="85" w:type="dxa"/>
            </w:tcMar>
          </w:tcPr>
          <w:p w14:paraId="2D3E2D5F" w14:textId="77777777" w:rsidR="00A66BC3" w:rsidRDefault="00A66BC3" w:rsidP="008E69F2">
            <w:pPr>
              <w:spacing w:after="20"/>
            </w:pPr>
            <w:r>
              <w:rPr>
                <w:rFonts w:eastAsia="Arial"/>
                <w:color w:val="222222"/>
                <w:sz w:val="17"/>
              </w:rPr>
              <w:t>Non opera l'adesione automatica: il TFR resta regolato dall'art. 2120 c.c. (in azie</w:t>
            </w:r>
            <w:r>
              <w:rPr>
                <w:rFonts w:eastAsia="Arial"/>
                <w:color w:val="222222"/>
                <w:sz w:val="17"/>
              </w:rPr>
              <w:t>n</w:t>
            </w:r>
            <w:r>
              <w:rPr>
                <w:rFonts w:eastAsia="Arial"/>
                <w:color w:val="222222"/>
                <w:sz w:val="17"/>
              </w:rPr>
              <w:t>da o al Fondo di Tesoreria INPS, se dov</w:t>
            </w:r>
            <w:r>
              <w:rPr>
                <w:rFonts w:eastAsia="Arial"/>
                <w:color w:val="222222"/>
                <w:sz w:val="17"/>
              </w:rPr>
              <w:t>u</w:t>
            </w:r>
            <w:r>
              <w:rPr>
                <w:rFonts w:eastAsia="Arial"/>
                <w:color w:val="222222"/>
                <w:sz w:val="17"/>
              </w:rPr>
              <w:t>to).</w:t>
            </w:r>
          </w:p>
        </w:tc>
        <w:tc>
          <w:tcPr>
            <w:tcW w:w="3969" w:type="dxa"/>
            <w:tcMar>
              <w:top w:w="80" w:type="dxa"/>
              <w:left w:w="85" w:type="dxa"/>
              <w:bottom w:w="80" w:type="dxa"/>
              <w:right w:w="85" w:type="dxa"/>
            </w:tcMar>
          </w:tcPr>
          <w:p w14:paraId="455F7006" w14:textId="77777777" w:rsidR="00A66BC3" w:rsidRDefault="00A66BC3" w:rsidP="008E69F2">
            <w:pPr>
              <w:spacing w:after="20"/>
            </w:pPr>
            <w:r>
              <w:rPr>
                <w:rFonts w:eastAsia="Arial"/>
                <w:color w:val="222222"/>
                <w:sz w:val="17"/>
              </w:rPr>
              <w:t>Aderire in qualsiasi momento a un fondo pensione con apposita adesione esplicita.</w:t>
            </w:r>
          </w:p>
        </w:tc>
      </w:tr>
    </w:tbl>
    <w:p w14:paraId="7998258D" w14:textId="77777777" w:rsidR="00A66BC3" w:rsidRDefault="00A66BC3" w:rsidP="00A66BC3">
      <w:pPr>
        <w:spacing w:after="20"/>
      </w:pPr>
    </w:p>
    <w:p w14:paraId="5CE58A55" w14:textId="77777777" w:rsidR="00A66BC3" w:rsidRPr="00EB4089" w:rsidRDefault="00A66BC3" w:rsidP="00EB4089">
      <w:pPr>
        <w:spacing w:after="80" w:line="276" w:lineRule="auto"/>
        <w:rPr>
          <w:rFonts w:eastAsia="Arial"/>
          <w:b/>
          <w:sz w:val="24"/>
        </w:rPr>
      </w:pPr>
      <w:r w:rsidRPr="00EB4089">
        <w:rPr>
          <w:rFonts w:eastAsia="Arial"/>
          <w:b/>
          <w:sz w:val="24"/>
        </w:rPr>
        <w:t>Quale fondo riceve il TFR</w:t>
      </w:r>
    </w:p>
    <w:p w14:paraId="6CF8BF4F" w14:textId="77777777" w:rsidR="00A66BC3" w:rsidRDefault="00A66BC3" w:rsidP="00EB4089">
      <w:pPr>
        <w:spacing w:line="276" w:lineRule="auto"/>
        <w:jc w:val="both"/>
        <w:rPr>
          <w:rFonts w:eastAsia="Arial"/>
          <w:sz w:val="22"/>
          <w:szCs w:val="22"/>
        </w:rPr>
      </w:pPr>
      <w:r w:rsidRPr="00EB4089">
        <w:rPr>
          <w:rFonts w:eastAsia="Arial"/>
          <w:sz w:val="22"/>
          <w:szCs w:val="22"/>
        </w:rPr>
        <w:t>La destinazione dell'adesione automatica è la forma pensionistica collettiva prevista dagli accordi o dai contratti collettivi, anche territoriali o aziendali, applicati dall'azienda. Se gli accordi prevedono più forme, prevale quella a cui ha aderito il maggior numero di lavoratori dell'azienda, salvo diverso accordo aziendale. In mancanza di accordi, il TFR confluisce nella forma pensionistica residuale individuata dal D.M. 31 marzo 2020, n. 85 (Fondo Cometa); in tal caso è conferito il solo TFR, senza contribuzione a carico delle parti se non prevista da fonte collettiva.</w:t>
      </w:r>
    </w:p>
    <w:p w14:paraId="1BD6B767" w14:textId="77777777" w:rsidR="00B800F0" w:rsidRPr="00EB4089" w:rsidRDefault="00B800F0" w:rsidP="00EB4089">
      <w:pPr>
        <w:spacing w:line="276" w:lineRule="auto"/>
        <w:jc w:val="both"/>
        <w:rPr>
          <w:rFonts w:eastAsia="Arial"/>
          <w:sz w:val="22"/>
          <w:szCs w:val="22"/>
        </w:rPr>
      </w:pPr>
    </w:p>
    <w:p w14:paraId="1DD03123" w14:textId="77777777" w:rsidR="00A66BC3" w:rsidRPr="00EB4089" w:rsidRDefault="00A66BC3" w:rsidP="00EB4089">
      <w:pPr>
        <w:spacing w:after="80" w:line="276" w:lineRule="auto"/>
        <w:rPr>
          <w:rFonts w:eastAsia="Arial"/>
          <w:b/>
          <w:sz w:val="24"/>
        </w:rPr>
      </w:pPr>
      <w:r w:rsidRPr="00EB4089">
        <w:rPr>
          <w:rFonts w:eastAsia="Arial"/>
          <w:b/>
          <w:sz w:val="24"/>
        </w:rPr>
        <w:t>Contribuzione del lavoratore</w:t>
      </w:r>
    </w:p>
    <w:p w14:paraId="56F9D3DF" w14:textId="77777777" w:rsidR="00A66BC3" w:rsidRDefault="00A66BC3" w:rsidP="00EB4089">
      <w:pPr>
        <w:spacing w:line="276" w:lineRule="auto"/>
        <w:jc w:val="both"/>
        <w:rPr>
          <w:rFonts w:eastAsia="Arial"/>
          <w:sz w:val="22"/>
          <w:szCs w:val="22"/>
        </w:rPr>
      </w:pPr>
      <w:r w:rsidRPr="00EB4089">
        <w:rPr>
          <w:rFonts w:eastAsia="Arial"/>
          <w:sz w:val="22"/>
          <w:szCs w:val="22"/>
        </w:rPr>
        <w:t>Con l'adesione automatica sono dovuti, oltre al TFR, il contributo del datore di lavoro e quello del lavoratore nelle misure stabilite dagli accordi. Il lavoratore può chiedere di non versare la propria quota soltanto se la retribuzione annua lorda corrisposta dal datore di lavoro è inferiore all'importo dell'assegno sociale; resta comunque fermo il conferimento del TFR.</w:t>
      </w:r>
    </w:p>
    <w:p w14:paraId="17469B20" w14:textId="77777777" w:rsidR="00B800F0" w:rsidRPr="00EB4089" w:rsidRDefault="00B800F0" w:rsidP="00EB4089">
      <w:pPr>
        <w:spacing w:line="276" w:lineRule="auto"/>
        <w:jc w:val="both"/>
        <w:rPr>
          <w:rFonts w:eastAsia="Arial"/>
          <w:sz w:val="22"/>
          <w:szCs w:val="22"/>
        </w:rPr>
      </w:pPr>
    </w:p>
    <w:p w14:paraId="4941E8C7" w14:textId="77777777" w:rsidR="00A66BC3" w:rsidRPr="00EB4089" w:rsidRDefault="00A66BC3" w:rsidP="00EB4089">
      <w:pPr>
        <w:spacing w:after="80" w:line="276" w:lineRule="auto"/>
        <w:rPr>
          <w:rFonts w:eastAsia="Arial"/>
          <w:b/>
          <w:sz w:val="24"/>
        </w:rPr>
      </w:pPr>
      <w:r w:rsidRPr="00EB4089">
        <w:rPr>
          <w:rFonts w:eastAsia="Arial"/>
          <w:b/>
          <w:sz w:val="24"/>
        </w:rPr>
        <w:t>Tempi e decorrenza dei versamenti</w:t>
      </w:r>
    </w:p>
    <w:p w14:paraId="008C012C" w14:textId="77777777" w:rsidR="00A66BC3" w:rsidRPr="00EB4089" w:rsidRDefault="00A66BC3" w:rsidP="00EB4089">
      <w:pPr>
        <w:spacing w:line="276" w:lineRule="auto"/>
        <w:jc w:val="both"/>
        <w:rPr>
          <w:rFonts w:eastAsia="Arial"/>
          <w:sz w:val="22"/>
          <w:szCs w:val="22"/>
        </w:rPr>
      </w:pPr>
      <w:r w:rsidRPr="00EB4089">
        <w:rPr>
          <w:rFonts w:eastAsia="Arial"/>
          <w:sz w:val="22"/>
          <w:szCs w:val="22"/>
        </w:rPr>
        <w:t>L'adesione decorre dalla data di assunzione. Scaduti i 60 giorni senza una scelta diversa, l'azienda comunica l'adesione al fondo di destinazione e inizia i versamenti dal mese successivo alla scadenza del termine, comprendendo quanto maturato dalla data di assunzione.</w:t>
      </w:r>
    </w:p>
    <w:p w14:paraId="1615B786" w14:textId="77777777" w:rsidR="00A66BC3" w:rsidRPr="00EB4089" w:rsidRDefault="00A66BC3" w:rsidP="00EB4089">
      <w:pPr>
        <w:spacing w:line="276" w:lineRule="auto"/>
        <w:jc w:val="both"/>
        <w:rPr>
          <w:rFonts w:eastAsia="Arial"/>
          <w:sz w:val="22"/>
          <w:szCs w:val="22"/>
        </w:rPr>
      </w:pPr>
      <w:r w:rsidRPr="00800DEF">
        <w:rPr>
          <w:rFonts w:eastAsia="Arial"/>
          <w:b/>
          <w:i/>
          <w:sz w:val="22"/>
          <w:szCs w:val="22"/>
        </w:rPr>
        <w:t>Esempio:</w:t>
      </w:r>
      <w:r w:rsidRPr="00EB4089">
        <w:rPr>
          <w:rFonts w:eastAsia="Arial"/>
          <w:sz w:val="22"/>
          <w:szCs w:val="22"/>
        </w:rPr>
        <w:t xml:space="preserve"> lavoratore alla prima occupazione assunto il 1° settembre 2026 che non consegna alcuna scelta. Il termine di 60 giorni scade il 31 ottobre 2026; dal mese di novembre 2026 l'azienda deve versare al fondo il TFR e i contributi maturati da settembre, oltre a quelli correnti.</w:t>
      </w:r>
    </w:p>
    <w:tbl>
      <w:tblPr>
        <w:tblW w:w="0" w:type="auto"/>
        <w:jc w:val="center"/>
        <w:tblLayout w:type="fixed"/>
        <w:tblLook w:val="04A0" w:firstRow="1" w:lastRow="0" w:firstColumn="1" w:lastColumn="0" w:noHBand="0" w:noVBand="1"/>
      </w:tblPr>
      <w:tblGrid>
        <w:gridCol w:w="9638"/>
      </w:tblGrid>
      <w:tr w:rsidR="00A66BC3" w:rsidRPr="00A66BC3" w14:paraId="3D881F0C" w14:textId="77777777" w:rsidTr="00EB4089">
        <w:trPr>
          <w:tblHeader/>
          <w:jc w:val="center"/>
        </w:trPr>
        <w:tc>
          <w:tcPr>
            <w:tcW w:w="9638" w:type="dxa"/>
            <w:tcBorders>
              <w:top w:val="single" w:sz="4" w:space="0" w:color="auto"/>
              <w:left w:val="single" w:sz="4" w:space="0" w:color="auto"/>
              <w:bottom w:val="single" w:sz="4" w:space="0" w:color="auto"/>
              <w:right w:val="single" w:sz="4" w:space="0" w:color="auto"/>
            </w:tcBorders>
            <w:tcMar>
              <w:top w:w="130" w:type="dxa"/>
              <w:left w:w="160" w:type="dxa"/>
              <w:bottom w:w="130" w:type="dxa"/>
              <w:right w:w="160" w:type="dxa"/>
            </w:tcMar>
          </w:tcPr>
          <w:p w14:paraId="5A2E4E8B" w14:textId="77777777" w:rsidR="00A66BC3" w:rsidRPr="00EB4089" w:rsidRDefault="00A66BC3" w:rsidP="008E69F2">
            <w:pPr>
              <w:spacing w:after="60"/>
              <w:rPr>
                <w:sz w:val="22"/>
                <w:szCs w:val="22"/>
              </w:rPr>
            </w:pPr>
            <w:r w:rsidRPr="00EB4089">
              <w:rPr>
                <w:rFonts w:eastAsia="Arial"/>
                <w:b/>
                <w:sz w:val="22"/>
                <w:szCs w:val="22"/>
              </w:rPr>
              <w:t xml:space="preserve">APPROFONDIMENTO. </w:t>
            </w:r>
            <w:r w:rsidRPr="00EB4089">
              <w:rPr>
                <w:rFonts w:eastAsia="Arial"/>
                <w:sz w:val="22"/>
                <w:szCs w:val="22"/>
              </w:rPr>
              <w:t>Secondo le direttive COVIP approvate con delibera del 19 giugno 2026 (G.U. n. 148 del 29 giugno 2026), che sostituiscono le istruzioni del 2008 sul conferimento tacito, il meccanismo non opera per i rapporti a termine di durata inferiore a 60 giorni e per quelli cessati prima della scadenza del termine. La scelta di mantenere il TFR in azienda è sempre revocabile: il lavoratore può aderire in seguito a un fondo pensione; la scelta inversa, una volta aderito, non è invece consentita.</w:t>
            </w:r>
          </w:p>
        </w:tc>
      </w:tr>
    </w:tbl>
    <w:p w14:paraId="7AD91FC9" w14:textId="77777777" w:rsidR="00B800F0" w:rsidRPr="00EB4089" w:rsidRDefault="00B800F0" w:rsidP="00B800F0">
      <w:pPr>
        <w:spacing w:line="276" w:lineRule="auto"/>
        <w:jc w:val="both"/>
        <w:rPr>
          <w:rFonts w:eastAsia="Arial"/>
          <w:sz w:val="22"/>
          <w:szCs w:val="22"/>
        </w:rPr>
      </w:pPr>
    </w:p>
    <w:p w14:paraId="62909F44" w14:textId="77777777" w:rsidR="00BB68CA" w:rsidRPr="00EB4089" w:rsidRDefault="00BB68CA" w:rsidP="00EB4089">
      <w:pPr>
        <w:spacing w:after="80" w:line="276" w:lineRule="auto"/>
        <w:rPr>
          <w:rFonts w:eastAsia="Arial"/>
          <w:b/>
          <w:sz w:val="24"/>
        </w:rPr>
      </w:pPr>
      <w:r w:rsidRPr="00EB4089">
        <w:rPr>
          <w:rFonts w:eastAsia="Arial"/>
          <w:b/>
          <w:sz w:val="24"/>
        </w:rPr>
        <w:t xml:space="preserve">Come viene investito il TFR: il percorso life </w:t>
      </w:r>
      <w:proofErr w:type="spellStart"/>
      <w:r w:rsidRPr="00EB4089">
        <w:rPr>
          <w:rFonts w:eastAsia="Arial"/>
          <w:b/>
          <w:sz w:val="24"/>
        </w:rPr>
        <w:t>cycle</w:t>
      </w:r>
      <w:proofErr w:type="spellEnd"/>
    </w:p>
    <w:p w14:paraId="613ADB41" w14:textId="77777777" w:rsidR="00BB68CA" w:rsidRPr="00367B7F" w:rsidRDefault="00BB68CA" w:rsidP="00367B7F">
      <w:pPr>
        <w:spacing w:line="276" w:lineRule="auto"/>
        <w:jc w:val="both"/>
        <w:rPr>
          <w:rFonts w:eastAsia="Arial"/>
          <w:sz w:val="22"/>
          <w:szCs w:val="22"/>
        </w:rPr>
      </w:pPr>
      <w:r w:rsidRPr="00367B7F">
        <w:rPr>
          <w:rFonts w:eastAsia="Arial"/>
          <w:sz w:val="22"/>
          <w:szCs w:val="22"/>
        </w:rPr>
        <w:t xml:space="preserve">La riforma non interviene solo sull'iscrizione al fondo, ma anche su come vengono investite le somme. Dal 1° luglio 2026 l'art. 8, comma 9, del </w:t>
      </w:r>
      <w:proofErr w:type="spellStart"/>
      <w:r w:rsidRPr="00367B7F">
        <w:rPr>
          <w:rFonts w:eastAsia="Arial"/>
          <w:sz w:val="22"/>
          <w:szCs w:val="22"/>
        </w:rPr>
        <w:t>D.Lgs.</w:t>
      </w:r>
      <w:proofErr w:type="spellEnd"/>
      <w:r w:rsidRPr="00367B7F">
        <w:rPr>
          <w:rFonts w:eastAsia="Arial"/>
          <w:sz w:val="22"/>
          <w:szCs w:val="22"/>
        </w:rPr>
        <w:t xml:space="preserve"> n. 252/2005 prevede che il TFR e i contributi derivanti da adesioni non esplicite, cioè dalle adesioni automatiche, siano investiti in percorsi o linee di investimento «life </w:t>
      </w:r>
      <w:proofErr w:type="spellStart"/>
      <w:r w:rsidRPr="00367B7F">
        <w:rPr>
          <w:rFonts w:eastAsia="Arial"/>
          <w:sz w:val="22"/>
          <w:szCs w:val="22"/>
        </w:rPr>
        <w:t>cycle</w:t>
      </w:r>
      <w:proofErr w:type="spellEnd"/>
      <w:r w:rsidRPr="00367B7F">
        <w:rPr>
          <w:rFonts w:eastAsia="Arial"/>
          <w:sz w:val="22"/>
          <w:szCs w:val="22"/>
        </w:rPr>
        <w:t>», che tengono conto dell'età dell'aderente e degli anni che mancano alla pensione. I criteri minimi sono fissati dalle Istruzioni COVIP approvate con deliberazione del 23 giugno 2026.</w:t>
      </w:r>
    </w:p>
    <w:p w14:paraId="29FA2781" w14:textId="77777777" w:rsidR="00BB68CA" w:rsidRDefault="00BB68CA" w:rsidP="00367B7F">
      <w:pPr>
        <w:spacing w:line="276" w:lineRule="auto"/>
        <w:jc w:val="both"/>
        <w:rPr>
          <w:rFonts w:eastAsia="Arial"/>
          <w:sz w:val="22"/>
          <w:szCs w:val="22"/>
        </w:rPr>
      </w:pPr>
      <w:r w:rsidRPr="00367B7F">
        <w:rPr>
          <w:rFonts w:eastAsia="Arial"/>
          <w:sz w:val="22"/>
          <w:szCs w:val="22"/>
        </w:rPr>
        <w:t>Il punto da chiarire al lavoratore è che il comparto di investimento dipende dal modo in cui si arriva al fondo:</w:t>
      </w:r>
    </w:p>
    <w:p w14:paraId="0E45670A" w14:textId="77777777" w:rsidR="00367B7F" w:rsidRPr="00367B7F" w:rsidRDefault="00367B7F" w:rsidP="00367B7F">
      <w:pPr>
        <w:spacing w:line="276" w:lineRule="auto"/>
        <w:jc w:val="both"/>
        <w:rPr>
          <w:rFonts w:eastAsia="Arial"/>
          <w:sz w:val="22"/>
          <w:szCs w:val="22"/>
        </w:rPr>
      </w:pPr>
    </w:p>
    <w:tbl>
      <w:tblPr>
        <w:tblStyle w:val="Grigliatabella"/>
        <w:tblW w:w="0" w:type="auto"/>
        <w:jc w:val="center"/>
        <w:tblLayout w:type="fixed"/>
        <w:tblLook w:val="04A0" w:firstRow="1" w:lastRow="0" w:firstColumn="1" w:lastColumn="0" w:noHBand="0" w:noVBand="1"/>
      </w:tblPr>
      <w:tblGrid>
        <w:gridCol w:w="3685"/>
        <w:gridCol w:w="6237"/>
      </w:tblGrid>
      <w:tr w:rsidR="00BB68CA" w14:paraId="65E2FEC7" w14:textId="77777777" w:rsidTr="00EB4089">
        <w:trPr>
          <w:tblHeader/>
          <w:jc w:val="center"/>
        </w:trPr>
        <w:tc>
          <w:tcPr>
            <w:tcW w:w="3685" w:type="dxa"/>
            <w:tcMar>
              <w:top w:w="80" w:type="dxa"/>
              <w:left w:w="85" w:type="dxa"/>
              <w:bottom w:w="80" w:type="dxa"/>
              <w:right w:w="85" w:type="dxa"/>
            </w:tcMar>
          </w:tcPr>
          <w:p w14:paraId="7CCA4000" w14:textId="77777777" w:rsidR="00BB68CA" w:rsidRPr="00BB68CA" w:rsidRDefault="00BB68CA" w:rsidP="008E69F2">
            <w:pPr>
              <w:spacing w:after="20"/>
            </w:pPr>
            <w:r w:rsidRPr="00BB68CA">
              <w:rPr>
                <w:rFonts w:eastAsia="Arial"/>
                <w:b/>
                <w:sz w:val="17"/>
              </w:rPr>
              <w:lastRenderedPageBreak/>
              <w:t>Modalità di adesione</w:t>
            </w:r>
          </w:p>
        </w:tc>
        <w:tc>
          <w:tcPr>
            <w:tcW w:w="6237" w:type="dxa"/>
            <w:tcMar>
              <w:top w:w="80" w:type="dxa"/>
              <w:left w:w="85" w:type="dxa"/>
              <w:bottom w:w="80" w:type="dxa"/>
              <w:right w:w="85" w:type="dxa"/>
            </w:tcMar>
          </w:tcPr>
          <w:p w14:paraId="76062C6B" w14:textId="77777777" w:rsidR="00BB68CA" w:rsidRPr="00BB68CA" w:rsidRDefault="00BB68CA" w:rsidP="008E69F2">
            <w:pPr>
              <w:spacing w:after="20"/>
            </w:pPr>
            <w:r w:rsidRPr="00BB68CA">
              <w:rPr>
                <w:rFonts w:eastAsia="Arial"/>
                <w:b/>
                <w:sz w:val="17"/>
              </w:rPr>
              <w:t>Dove confluiscono TFR e contributi</w:t>
            </w:r>
          </w:p>
        </w:tc>
      </w:tr>
      <w:tr w:rsidR="00BB68CA" w14:paraId="1B7845D5" w14:textId="77777777" w:rsidTr="00EB4089">
        <w:trPr>
          <w:jc w:val="center"/>
        </w:trPr>
        <w:tc>
          <w:tcPr>
            <w:tcW w:w="3685" w:type="dxa"/>
            <w:tcMar>
              <w:top w:w="80" w:type="dxa"/>
              <w:left w:w="85" w:type="dxa"/>
              <w:bottom w:w="80" w:type="dxa"/>
              <w:right w:w="85" w:type="dxa"/>
            </w:tcMar>
          </w:tcPr>
          <w:p w14:paraId="50550683" w14:textId="77777777" w:rsidR="00BB68CA" w:rsidRDefault="00BB68CA" w:rsidP="008E69F2">
            <w:pPr>
              <w:spacing w:after="20"/>
            </w:pPr>
            <w:r>
              <w:rPr>
                <w:rFonts w:eastAsia="Arial"/>
                <w:b/>
                <w:color w:val="222222"/>
                <w:sz w:val="17"/>
              </w:rPr>
              <w:t>Adesione automatica – prima assunzione (art. 8, comma 7)</w:t>
            </w:r>
          </w:p>
        </w:tc>
        <w:tc>
          <w:tcPr>
            <w:tcW w:w="6237" w:type="dxa"/>
            <w:tcMar>
              <w:top w:w="80" w:type="dxa"/>
              <w:left w:w="85" w:type="dxa"/>
              <w:bottom w:w="80" w:type="dxa"/>
              <w:right w:w="85" w:type="dxa"/>
            </w:tcMar>
          </w:tcPr>
          <w:p w14:paraId="68E7B0D8" w14:textId="77777777" w:rsidR="00BB68CA" w:rsidRDefault="00BB68CA" w:rsidP="008E69F2">
            <w:pPr>
              <w:spacing w:after="20"/>
            </w:pPr>
            <w:r>
              <w:rPr>
                <w:rFonts w:eastAsia="Arial"/>
                <w:color w:val="222222"/>
                <w:sz w:val="17"/>
              </w:rPr>
              <w:t xml:space="preserve">Percorso o linea life </w:t>
            </w:r>
            <w:proofErr w:type="spellStart"/>
            <w:r>
              <w:rPr>
                <w:rFonts w:eastAsia="Arial"/>
                <w:color w:val="222222"/>
                <w:sz w:val="17"/>
              </w:rPr>
              <w:t>cycle</w:t>
            </w:r>
            <w:proofErr w:type="spellEnd"/>
            <w:r>
              <w:rPr>
                <w:rFonts w:eastAsia="Arial"/>
                <w:color w:val="222222"/>
                <w:sz w:val="17"/>
              </w:rPr>
              <w:t xml:space="preserve"> del fondo di destinazione, compresi i contributi co</w:t>
            </w:r>
            <w:r>
              <w:rPr>
                <w:rFonts w:eastAsia="Arial"/>
                <w:color w:val="222222"/>
                <w:sz w:val="17"/>
              </w:rPr>
              <w:t>n</w:t>
            </w:r>
            <w:r>
              <w:rPr>
                <w:rFonts w:eastAsia="Arial"/>
                <w:color w:val="222222"/>
                <w:sz w:val="17"/>
              </w:rPr>
              <w:t>trattuali previsti dal CCNL.</w:t>
            </w:r>
          </w:p>
        </w:tc>
      </w:tr>
      <w:tr w:rsidR="00BB68CA" w14:paraId="3F942D1C" w14:textId="77777777" w:rsidTr="00EB4089">
        <w:trPr>
          <w:jc w:val="center"/>
        </w:trPr>
        <w:tc>
          <w:tcPr>
            <w:tcW w:w="3685" w:type="dxa"/>
            <w:tcMar>
              <w:top w:w="80" w:type="dxa"/>
              <w:left w:w="85" w:type="dxa"/>
              <w:bottom w:w="80" w:type="dxa"/>
              <w:right w:w="85" w:type="dxa"/>
            </w:tcMar>
          </w:tcPr>
          <w:p w14:paraId="701BBD6A" w14:textId="77777777" w:rsidR="00BB68CA" w:rsidRDefault="00BB68CA" w:rsidP="008E69F2">
            <w:pPr>
              <w:spacing w:after="20"/>
            </w:pPr>
            <w:r>
              <w:rPr>
                <w:rFonts w:eastAsia="Arial"/>
                <w:b/>
                <w:color w:val="222222"/>
                <w:sz w:val="17"/>
              </w:rPr>
              <w:t>Adesione automatica – non prima assu</w:t>
            </w:r>
            <w:r>
              <w:rPr>
                <w:rFonts w:eastAsia="Arial"/>
                <w:b/>
                <w:color w:val="222222"/>
                <w:sz w:val="17"/>
              </w:rPr>
              <w:t>n</w:t>
            </w:r>
            <w:r>
              <w:rPr>
                <w:rFonts w:eastAsia="Arial"/>
                <w:b/>
                <w:color w:val="222222"/>
                <w:sz w:val="17"/>
              </w:rPr>
              <w:t>zione già iscritto che non sceglie entro 60 giorni (art. 8, comma 9-bis)</w:t>
            </w:r>
          </w:p>
        </w:tc>
        <w:tc>
          <w:tcPr>
            <w:tcW w:w="6237" w:type="dxa"/>
            <w:tcMar>
              <w:top w:w="80" w:type="dxa"/>
              <w:left w:w="85" w:type="dxa"/>
              <w:bottom w:w="80" w:type="dxa"/>
              <w:right w:w="85" w:type="dxa"/>
            </w:tcMar>
          </w:tcPr>
          <w:p w14:paraId="733E7ED2" w14:textId="77777777" w:rsidR="00BB68CA" w:rsidRDefault="00BB68CA" w:rsidP="008E69F2">
            <w:pPr>
              <w:spacing w:after="20"/>
            </w:pPr>
            <w:r>
              <w:rPr>
                <w:rFonts w:eastAsia="Arial"/>
                <w:color w:val="222222"/>
                <w:sz w:val="17"/>
              </w:rPr>
              <w:t xml:space="preserve">Percorso o linea life </w:t>
            </w:r>
            <w:proofErr w:type="spellStart"/>
            <w:r>
              <w:rPr>
                <w:rFonts w:eastAsia="Arial"/>
                <w:color w:val="222222"/>
                <w:sz w:val="17"/>
              </w:rPr>
              <w:t>cycle</w:t>
            </w:r>
            <w:proofErr w:type="spellEnd"/>
            <w:r>
              <w:rPr>
                <w:rFonts w:eastAsia="Arial"/>
                <w:color w:val="222222"/>
                <w:sz w:val="17"/>
              </w:rPr>
              <w:t xml:space="preserve"> del fondo di destinazione.</w:t>
            </w:r>
          </w:p>
        </w:tc>
      </w:tr>
      <w:tr w:rsidR="00BB68CA" w14:paraId="3FDC9EE9" w14:textId="77777777" w:rsidTr="00EB4089">
        <w:trPr>
          <w:jc w:val="center"/>
        </w:trPr>
        <w:tc>
          <w:tcPr>
            <w:tcW w:w="3685" w:type="dxa"/>
            <w:tcMar>
              <w:top w:w="80" w:type="dxa"/>
              <w:left w:w="85" w:type="dxa"/>
              <w:bottom w:w="80" w:type="dxa"/>
              <w:right w:w="85" w:type="dxa"/>
            </w:tcMar>
          </w:tcPr>
          <w:p w14:paraId="32935786" w14:textId="77777777" w:rsidR="00BB68CA" w:rsidRDefault="00BB68CA" w:rsidP="008E69F2">
            <w:pPr>
              <w:spacing w:after="20"/>
            </w:pPr>
            <w:r>
              <w:rPr>
                <w:rFonts w:eastAsia="Arial"/>
                <w:b/>
                <w:color w:val="222222"/>
                <w:sz w:val="17"/>
              </w:rPr>
              <w:t>Adesione esplicita con il modulo TFR3 (fondo indicato dal lavoratore)</w:t>
            </w:r>
          </w:p>
        </w:tc>
        <w:tc>
          <w:tcPr>
            <w:tcW w:w="6237" w:type="dxa"/>
            <w:tcMar>
              <w:top w:w="80" w:type="dxa"/>
              <w:left w:w="85" w:type="dxa"/>
              <w:bottom w:w="80" w:type="dxa"/>
              <w:right w:w="85" w:type="dxa"/>
            </w:tcMar>
          </w:tcPr>
          <w:p w14:paraId="59918D0A" w14:textId="77777777" w:rsidR="00BB68CA" w:rsidRDefault="00BB68CA" w:rsidP="008E69F2">
            <w:pPr>
              <w:spacing w:after="20"/>
            </w:pPr>
            <w:r>
              <w:rPr>
                <w:rFonts w:eastAsia="Arial"/>
                <w:color w:val="222222"/>
                <w:sz w:val="17"/>
              </w:rPr>
              <w:t xml:space="preserve">Comparto scelto dal lavoratore secondo le regole del fondo. Il life </w:t>
            </w:r>
            <w:proofErr w:type="spellStart"/>
            <w:r>
              <w:rPr>
                <w:rFonts w:eastAsia="Arial"/>
                <w:color w:val="222222"/>
                <w:sz w:val="17"/>
              </w:rPr>
              <w:t>cycle</w:t>
            </w:r>
            <w:proofErr w:type="spellEnd"/>
            <w:r>
              <w:rPr>
                <w:rFonts w:eastAsia="Arial"/>
                <w:color w:val="222222"/>
                <w:sz w:val="17"/>
              </w:rPr>
              <w:t xml:space="preserve"> non è obbligatorio, ma il fondo deve renderlo accessibile anche agli aderenti espliciti, sia per i flussi futuri sia per la posizione già accumulata.</w:t>
            </w:r>
          </w:p>
        </w:tc>
      </w:tr>
      <w:tr w:rsidR="00BB68CA" w14:paraId="7121A19F" w14:textId="77777777" w:rsidTr="00EB4089">
        <w:trPr>
          <w:jc w:val="center"/>
        </w:trPr>
        <w:tc>
          <w:tcPr>
            <w:tcW w:w="3685" w:type="dxa"/>
            <w:tcMar>
              <w:top w:w="80" w:type="dxa"/>
              <w:left w:w="85" w:type="dxa"/>
              <w:bottom w:w="80" w:type="dxa"/>
              <w:right w:w="85" w:type="dxa"/>
            </w:tcMar>
          </w:tcPr>
          <w:p w14:paraId="0DC9282A" w14:textId="77777777" w:rsidR="00BB68CA" w:rsidRDefault="00BB68CA" w:rsidP="008E69F2">
            <w:pPr>
              <w:spacing w:after="20"/>
            </w:pPr>
            <w:r>
              <w:rPr>
                <w:rFonts w:eastAsia="Arial"/>
                <w:b/>
                <w:color w:val="222222"/>
                <w:sz w:val="17"/>
              </w:rPr>
              <w:t>Rinuncia all'adesione automatica</w:t>
            </w:r>
          </w:p>
        </w:tc>
        <w:tc>
          <w:tcPr>
            <w:tcW w:w="6237" w:type="dxa"/>
            <w:tcMar>
              <w:top w:w="80" w:type="dxa"/>
              <w:left w:w="85" w:type="dxa"/>
              <w:bottom w:w="80" w:type="dxa"/>
              <w:right w:w="85" w:type="dxa"/>
            </w:tcMar>
          </w:tcPr>
          <w:p w14:paraId="79168CBA" w14:textId="77777777" w:rsidR="00BB68CA" w:rsidRDefault="00BB68CA" w:rsidP="008E69F2">
            <w:pPr>
              <w:spacing w:after="20"/>
            </w:pPr>
            <w:r>
              <w:rPr>
                <w:rFonts w:eastAsia="Arial"/>
                <w:color w:val="222222"/>
                <w:sz w:val="17"/>
              </w:rPr>
              <w:t>Nessun investimento: il TFR resta regolato dall'art. 2120 c.c. (in azienda o al Fondo di Tesoreria INPS, se dovuto).</w:t>
            </w:r>
          </w:p>
        </w:tc>
      </w:tr>
      <w:tr w:rsidR="00BB68CA" w14:paraId="5040F35A" w14:textId="77777777" w:rsidTr="00EB4089">
        <w:trPr>
          <w:jc w:val="center"/>
        </w:trPr>
        <w:tc>
          <w:tcPr>
            <w:tcW w:w="3685" w:type="dxa"/>
            <w:tcMar>
              <w:top w:w="80" w:type="dxa"/>
              <w:left w:w="85" w:type="dxa"/>
              <w:bottom w:w="80" w:type="dxa"/>
              <w:right w:w="85" w:type="dxa"/>
            </w:tcMar>
          </w:tcPr>
          <w:p w14:paraId="324239E3" w14:textId="77777777" w:rsidR="00BB68CA" w:rsidRDefault="00BB68CA" w:rsidP="008E69F2">
            <w:pPr>
              <w:spacing w:after="20"/>
            </w:pPr>
            <w:r>
              <w:rPr>
                <w:rFonts w:eastAsia="Arial"/>
                <w:b/>
                <w:color w:val="222222"/>
                <w:sz w:val="17"/>
              </w:rPr>
              <w:t>Lavoratori assunti fino al 30 giugno 2026 (adesioni tacite previgenti)</w:t>
            </w:r>
          </w:p>
        </w:tc>
        <w:tc>
          <w:tcPr>
            <w:tcW w:w="6237" w:type="dxa"/>
            <w:tcMar>
              <w:top w:w="80" w:type="dxa"/>
              <w:left w:w="85" w:type="dxa"/>
              <w:bottom w:w="80" w:type="dxa"/>
              <w:right w:w="85" w:type="dxa"/>
            </w:tcMar>
          </w:tcPr>
          <w:p w14:paraId="31B38D50" w14:textId="77777777" w:rsidR="00BB68CA" w:rsidRDefault="00BB68CA" w:rsidP="008E69F2">
            <w:pPr>
              <w:spacing w:after="20"/>
            </w:pPr>
            <w:r>
              <w:rPr>
                <w:rFonts w:eastAsia="Arial"/>
                <w:color w:val="222222"/>
                <w:sz w:val="17"/>
              </w:rPr>
              <w:t>Restano regolati dalla disciplina precedente: la riforma non modifica le posizioni già in essere.</w:t>
            </w:r>
          </w:p>
        </w:tc>
      </w:tr>
    </w:tbl>
    <w:p w14:paraId="66C4B3DC" w14:textId="77777777" w:rsidR="00BB68CA" w:rsidRDefault="00BB68CA" w:rsidP="00BB68CA">
      <w:pPr>
        <w:spacing w:after="20"/>
      </w:pPr>
    </w:p>
    <w:p w14:paraId="2334FBE8" w14:textId="77777777" w:rsidR="00BB68CA" w:rsidRPr="00367B7F" w:rsidRDefault="00BB68CA" w:rsidP="00367B7F">
      <w:pPr>
        <w:spacing w:line="276" w:lineRule="auto"/>
        <w:jc w:val="both"/>
        <w:rPr>
          <w:rFonts w:eastAsia="Arial"/>
          <w:sz w:val="22"/>
          <w:szCs w:val="22"/>
        </w:rPr>
      </w:pPr>
      <w:r w:rsidRPr="00367B7F">
        <w:rPr>
          <w:rFonts w:eastAsia="Arial"/>
          <w:sz w:val="22"/>
          <w:szCs w:val="22"/>
        </w:rPr>
        <w:t xml:space="preserve">Il percorso life </w:t>
      </w:r>
      <w:proofErr w:type="spellStart"/>
      <w:r w:rsidRPr="00367B7F">
        <w:rPr>
          <w:rFonts w:eastAsia="Arial"/>
          <w:sz w:val="22"/>
          <w:szCs w:val="22"/>
        </w:rPr>
        <w:t>cycle</w:t>
      </w:r>
      <w:proofErr w:type="spellEnd"/>
      <w:r w:rsidRPr="00367B7F">
        <w:rPr>
          <w:rFonts w:eastAsia="Arial"/>
          <w:sz w:val="22"/>
          <w:szCs w:val="22"/>
        </w:rPr>
        <w:t xml:space="preserve"> riduce in modo graduale e automatico il rischio man mano che il lavoratore si avvicina alla pensione: nella fase iniziale la quota investita in azioni è almeno pari al 50%, nella fase finale non supera il 20%. La fase iniziale non può estendersi oltre il quindicesimo anno prima del pensionamento e la fase finale non può durare più di cinque anni. Eventuali costi per l'aderente sono limitati al recupero delle spese amministrative.</w:t>
      </w:r>
    </w:p>
    <w:p w14:paraId="42B0A5DC" w14:textId="77777777" w:rsidR="00BB68CA" w:rsidRDefault="00BB68CA" w:rsidP="00367B7F">
      <w:pPr>
        <w:spacing w:line="276" w:lineRule="auto"/>
        <w:jc w:val="both"/>
        <w:rPr>
          <w:rFonts w:eastAsia="Arial"/>
          <w:sz w:val="22"/>
          <w:szCs w:val="22"/>
        </w:rPr>
      </w:pPr>
      <w:r w:rsidRPr="00367B7F">
        <w:rPr>
          <w:rFonts w:eastAsia="Arial"/>
          <w:sz w:val="22"/>
          <w:szCs w:val="22"/>
        </w:rPr>
        <w:t>L'aderente automatico può in qualsiasi momento modificare l'opzione di investimento o trasferire l'intera posizione in un altro comparto dello stesso fondo, anche prima del periodo minimo di permanenza di un anno; da quel momento valgono le regole della scelta esplicita. È il fondo, e non il datore di lavoro, a dover informare tempestivamente il lavoratore dell'avvenuta adesione e del percorso in cui sono investiti TFR e contributi.</w:t>
      </w:r>
    </w:p>
    <w:p w14:paraId="7F18ED78" w14:textId="77777777" w:rsidR="00367B7F" w:rsidRDefault="00367B7F" w:rsidP="00367B7F">
      <w:pPr>
        <w:spacing w:line="276" w:lineRule="auto"/>
        <w:jc w:val="both"/>
        <w:rPr>
          <w:rFonts w:eastAsia="Arial"/>
          <w:sz w:val="22"/>
          <w:szCs w:val="22"/>
        </w:rPr>
      </w:pPr>
    </w:p>
    <w:p w14:paraId="70964D40" w14:textId="77777777" w:rsidR="00B800F0" w:rsidRDefault="00B800F0" w:rsidP="00367B7F">
      <w:pPr>
        <w:spacing w:line="276" w:lineRule="auto"/>
        <w:jc w:val="both"/>
        <w:rPr>
          <w:rFonts w:eastAsia="Arial"/>
          <w:sz w:val="22"/>
          <w:szCs w:val="22"/>
        </w:rPr>
      </w:pPr>
    </w:p>
    <w:p w14:paraId="0DD7B3B4" w14:textId="77777777" w:rsidR="00BB68CA" w:rsidRPr="00367B7F" w:rsidRDefault="00BB68CA" w:rsidP="00367B7F">
      <w:pPr>
        <w:spacing w:after="80" w:line="276" w:lineRule="auto"/>
        <w:rPr>
          <w:rFonts w:eastAsia="Arial"/>
          <w:b/>
          <w:sz w:val="24"/>
        </w:rPr>
      </w:pPr>
      <w:r w:rsidRPr="00367B7F">
        <w:rPr>
          <w:rFonts w:eastAsia="Arial"/>
          <w:b/>
          <w:sz w:val="24"/>
        </w:rPr>
        <w:t>Il periodo transitorio fino al 30 giugno 2027</w:t>
      </w:r>
    </w:p>
    <w:p w14:paraId="2715BE82" w14:textId="77777777" w:rsidR="00BB68CA" w:rsidRPr="00367B7F" w:rsidRDefault="00BB68CA" w:rsidP="00367B7F">
      <w:pPr>
        <w:spacing w:line="23" w:lineRule="atLeast"/>
        <w:jc w:val="both"/>
        <w:rPr>
          <w:sz w:val="22"/>
          <w:szCs w:val="22"/>
        </w:rPr>
      </w:pPr>
      <w:r w:rsidRPr="00367B7F">
        <w:rPr>
          <w:rFonts w:eastAsia="Arial"/>
          <w:sz w:val="22"/>
          <w:szCs w:val="22"/>
        </w:rPr>
        <w:t>Non tutti i fondi erano pronti al 1° luglio 2026. Le Istruzioni COVIP (par. 10) distinguono tre situazioni:</w:t>
      </w:r>
    </w:p>
    <w:p w14:paraId="436FCA97" w14:textId="77777777" w:rsidR="00367B7F" w:rsidRPr="00367B7F" w:rsidRDefault="00BB68CA" w:rsidP="00B800F0">
      <w:pPr>
        <w:pStyle w:val="Puntoelenco2"/>
        <w:numPr>
          <w:ilvl w:val="0"/>
          <w:numId w:val="12"/>
        </w:numPr>
        <w:spacing w:after="120" w:line="23" w:lineRule="atLeast"/>
        <w:ind w:left="357" w:hanging="357"/>
        <w:jc w:val="both"/>
        <w:rPr>
          <w:sz w:val="22"/>
          <w:szCs w:val="22"/>
        </w:rPr>
      </w:pPr>
      <w:r w:rsidRPr="00367B7F">
        <w:rPr>
          <w:rFonts w:eastAsia="Arial"/>
          <w:sz w:val="22"/>
          <w:szCs w:val="22"/>
        </w:rPr>
        <w:t xml:space="preserve">fondi già adeguati: raccolgono le adesioni automatiche e le investono nel percorso life </w:t>
      </w:r>
      <w:proofErr w:type="spellStart"/>
      <w:r w:rsidRPr="00367B7F">
        <w:rPr>
          <w:rFonts w:eastAsia="Arial"/>
          <w:sz w:val="22"/>
          <w:szCs w:val="22"/>
        </w:rPr>
        <w:t>cycle</w:t>
      </w:r>
      <w:proofErr w:type="spellEnd"/>
      <w:r w:rsidRPr="00367B7F">
        <w:rPr>
          <w:rFonts w:eastAsia="Arial"/>
          <w:sz w:val="22"/>
          <w:szCs w:val="22"/>
        </w:rPr>
        <w:t xml:space="preserve"> fin da sub</w:t>
      </w:r>
      <w:r w:rsidRPr="00367B7F">
        <w:rPr>
          <w:rFonts w:eastAsia="Arial"/>
          <w:sz w:val="22"/>
          <w:szCs w:val="22"/>
        </w:rPr>
        <w:t>i</w:t>
      </w:r>
      <w:r w:rsidRPr="00367B7F">
        <w:rPr>
          <w:rFonts w:eastAsia="Arial"/>
          <w:sz w:val="22"/>
          <w:szCs w:val="22"/>
        </w:rPr>
        <w:t>to;</w:t>
      </w:r>
    </w:p>
    <w:p w14:paraId="3F5A68A7" w14:textId="32BBE144" w:rsidR="00BB68CA" w:rsidRPr="00367B7F" w:rsidRDefault="00BB68CA" w:rsidP="00B800F0">
      <w:pPr>
        <w:pStyle w:val="Puntoelenco2"/>
        <w:numPr>
          <w:ilvl w:val="0"/>
          <w:numId w:val="12"/>
        </w:numPr>
        <w:spacing w:after="120" w:line="23" w:lineRule="atLeast"/>
        <w:ind w:left="357" w:hanging="357"/>
        <w:jc w:val="both"/>
        <w:rPr>
          <w:sz w:val="22"/>
          <w:szCs w:val="22"/>
        </w:rPr>
      </w:pPr>
      <w:r w:rsidRPr="00367B7F">
        <w:rPr>
          <w:rFonts w:eastAsia="Arial"/>
          <w:sz w:val="22"/>
          <w:szCs w:val="22"/>
        </w:rPr>
        <w:t>fondi non ancora adeguati ma con almeno due linee di investimento con diverso profilo di r</w:t>
      </w:r>
      <w:r w:rsidRPr="00367B7F">
        <w:rPr>
          <w:rFonts w:eastAsia="Arial"/>
          <w:sz w:val="22"/>
          <w:szCs w:val="22"/>
        </w:rPr>
        <w:t>i</w:t>
      </w:r>
      <w:r w:rsidRPr="00367B7F">
        <w:rPr>
          <w:rFonts w:eastAsia="Arial"/>
          <w:sz w:val="22"/>
          <w:szCs w:val="22"/>
        </w:rPr>
        <w:t>schio: possono raccogliere le adesioni automatiche dal 1° luglio 2026, collocando l'iscritto nel comparto più adeguato in base all'età, a condizione di adeguarsi entro il 30 giugno 2027. Lo statuto o il regolamento del fondo disciplina cosa accade alle adesioni raccolte nel periodo transit</w:t>
      </w:r>
      <w:r w:rsidRPr="00367B7F">
        <w:rPr>
          <w:rFonts w:eastAsia="Arial"/>
          <w:sz w:val="22"/>
          <w:szCs w:val="22"/>
        </w:rPr>
        <w:t>o</w:t>
      </w:r>
      <w:r w:rsidRPr="00367B7F">
        <w:rPr>
          <w:rFonts w:eastAsia="Arial"/>
          <w:sz w:val="22"/>
          <w:szCs w:val="22"/>
        </w:rPr>
        <w:t>rio al termine dello stesso;</w:t>
      </w:r>
    </w:p>
    <w:p w14:paraId="0A6DABBC" w14:textId="3CA12304" w:rsidR="00BB68CA" w:rsidRPr="00367B7F" w:rsidRDefault="00BB68CA" w:rsidP="00B800F0">
      <w:pPr>
        <w:pStyle w:val="Puntoelenco2"/>
        <w:numPr>
          <w:ilvl w:val="0"/>
          <w:numId w:val="12"/>
        </w:numPr>
        <w:spacing w:after="120" w:line="23" w:lineRule="atLeast"/>
        <w:ind w:left="357" w:hanging="357"/>
        <w:jc w:val="both"/>
        <w:rPr>
          <w:sz w:val="22"/>
          <w:szCs w:val="22"/>
        </w:rPr>
      </w:pPr>
      <w:r w:rsidRPr="00367B7F">
        <w:rPr>
          <w:rFonts w:eastAsia="Arial"/>
          <w:sz w:val="22"/>
          <w:szCs w:val="22"/>
        </w:rPr>
        <w:t>fondi privi di questi requisiti: non possono raccogliere adesioni automatiche, ma solo adesioni esplicite.</w:t>
      </w:r>
    </w:p>
    <w:p w14:paraId="2C61EF57" w14:textId="77777777" w:rsidR="00BB68CA" w:rsidRDefault="00BB68CA" w:rsidP="00B800F0">
      <w:pPr>
        <w:spacing w:line="23" w:lineRule="atLeast"/>
        <w:jc w:val="both"/>
        <w:rPr>
          <w:rFonts w:eastAsia="Arial"/>
          <w:sz w:val="22"/>
          <w:szCs w:val="22"/>
        </w:rPr>
      </w:pPr>
      <w:r w:rsidRPr="00367B7F">
        <w:rPr>
          <w:rFonts w:eastAsia="Arial"/>
          <w:sz w:val="22"/>
          <w:szCs w:val="22"/>
        </w:rPr>
        <w:t>Se il fondo individuato dal contratto collettivo non è idoneo e non vi sono altre forme collettive adeguate, l'adesione automatica confluisce nel fondo residuale COMETA, al quale sono destinati il TFR e i contributi previsti dagli accordi. Ogni fondo ha pubblicato sul proprio sito la propria situazione rispetto all'idoneità a ricevere adesioni automatiche: è il primo controllo da fare prima di comunicare l'adesione.</w:t>
      </w:r>
    </w:p>
    <w:p w14:paraId="1E809F75" w14:textId="77777777" w:rsidR="00367B7F" w:rsidRPr="00367B7F" w:rsidRDefault="00367B7F" w:rsidP="00367B7F">
      <w:pPr>
        <w:spacing w:line="23" w:lineRule="atLeast"/>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8"/>
      </w:tblGrid>
      <w:tr w:rsidR="00BB68CA" w:rsidRPr="00BB68CA" w14:paraId="3EEE8EDC" w14:textId="77777777" w:rsidTr="00367B7F">
        <w:trPr>
          <w:tblHeader/>
          <w:jc w:val="center"/>
        </w:trPr>
        <w:tc>
          <w:tcPr>
            <w:tcW w:w="9638" w:type="dxa"/>
            <w:tcMar>
              <w:top w:w="130" w:type="dxa"/>
              <w:left w:w="160" w:type="dxa"/>
              <w:bottom w:w="130" w:type="dxa"/>
              <w:right w:w="160" w:type="dxa"/>
            </w:tcMar>
          </w:tcPr>
          <w:p w14:paraId="44279E3E" w14:textId="77777777" w:rsidR="00BB68CA" w:rsidRPr="00367B7F" w:rsidRDefault="00BB68CA" w:rsidP="00367B7F">
            <w:pPr>
              <w:spacing w:after="60" w:line="276" w:lineRule="auto"/>
              <w:jc w:val="both"/>
              <w:rPr>
                <w:sz w:val="22"/>
                <w:szCs w:val="22"/>
              </w:rPr>
            </w:pPr>
            <w:r w:rsidRPr="00367B7F">
              <w:rPr>
                <w:rFonts w:eastAsia="Arial"/>
                <w:b/>
                <w:sz w:val="22"/>
                <w:szCs w:val="22"/>
              </w:rPr>
              <w:t xml:space="preserve">RICORDA. </w:t>
            </w:r>
            <w:r w:rsidRPr="00367B7F">
              <w:rPr>
                <w:rFonts w:eastAsia="Arial"/>
                <w:sz w:val="22"/>
                <w:szCs w:val="22"/>
              </w:rPr>
              <w:t xml:space="preserve">Per i lavoratori assunti dal 1° luglio 2026 e aderenti in modo automatico a un fondo in regime transitorio, l'investimento iniziale nel comparto scelto dal fondo in base all'età è provvisorio: entro il 30 giugno 2027 il fondo deve adeguarsi al percorso life </w:t>
            </w:r>
            <w:proofErr w:type="spellStart"/>
            <w:r w:rsidRPr="00367B7F">
              <w:rPr>
                <w:rFonts w:eastAsia="Arial"/>
                <w:sz w:val="22"/>
                <w:szCs w:val="22"/>
              </w:rPr>
              <w:t>cycle</w:t>
            </w:r>
            <w:proofErr w:type="spellEnd"/>
            <w:r w:rsidRPr="00367B7F">
              <w:rPr>
                <w:rFonts w:eastAsia="Arial"/>
                <w:sz w:val="22"/>
                <w:szCs w:val="22"/>
              </w:rPr>
              <w:t>, con le modalità indicate nel proprio statuto o regolamento. È opportuno avvisare il lavoratore che potrebbe ricevere dal fondo comunicazioni sulla modifica della politica di investimento.</w:t>
            </w:r>
          </w:p>
        </w:tc>
      </w:tr>
    </w:tbl>
    <w:p w14:paraId="5807ADCE" w14:textId="77777777" w:rsidR="00BB68CA" w:rsidRDefault="00BB68CA" w:rsidP="00A66BC3">
      <w:pPr>
        <w:spacing w:before="160" w:after="80" w:line="259" w:lineRule="auto"/>
      </w:pPr>
    </w:p>
    <w:p w14:paraId="0C0A787D" w14:textId="30E18DBF" w:rsidR="00A66BC3" w:rsidRPr="00367B7F" w:rsidRDefault="00A66BC3" w:rsidP="00367B7F">
      <w:pPr>
        <w:spacing w:after="80" w:line="276" w:lineRule="auto"/>
        <w:rPr>
          <w:rFonts w:eastAsia="Arial"/>
          <w:b/>
          <w:sz w:val="24"/>
        </w:rPr>
      </w:pPr>
      <w:r w:rsidRPr="00367B7F">
        <w:rPr>
          <w:rFonts w:eastAsia="Arial"/>
          <w:b/>
          <w:sz w:val="24"/>
        </w:rPr>
        <w:t>Il TFR che resta in azienda e il Fondo di Tesoreria INPS</w:t>
      </w:r>
    </w:p>
    <w:p w14:paraId="08BCFCA0" w14:textId="77777777" w:rsidR="00A66BC3" w:rsidRDefault="00A66BC3" w:rsidP="00367B7F">
      <w:pPr>
        <w:spacing w:line="276" w:lineRule="auto"/>
        <w:jc w:val="both"/>
        <w:rPr>
          <w:rFonts w:eastAsia="Arial"/>
          <w:sz w:val="22"/>
          <w:szCs w:val="22"/>
        </w:rPr>
      </w:pPr>
      <w:r w:rsidRPr="00367B7F">
        <w:rPr>
          <w:rFonts w:eastAsia="Arial"/>
          <w:sz w:val="22"/>
          <w:szCs w:val="22"/>
        </w:rPr>
        <w:t>Quando il lavoratore rinuncia all'adesione automatica, o non vi è soggetto, il TFR segue l'art. 2120 c.c. Se l'azienda rientra nell'obbligo di versamento al Fondo di Tesoreria INPS, le quote maturande vanno versate all'INPS e non restano nella disponibilità aziendale. La Legge di Bilancio 2026 ha modificato anche i requisiti dimensionali del Fondo: l'obbligo si determina ora sulla media annua degli addetti dell'anno precedente e, per i periodi di paga 2026 e 2027, la soglia è fissata a 60 addetti, con riduzione progressiva negli anni successivi (circolare INPS 5 febbraio 2026, n. 12). Una volta raggiunta la soglia, successive riduzioni di organico non fanno venire meno l'obbligo.</w:t>
      </w:r>
    </w:p>
    <w:p w14:paraId="3D5B7579" w14:textId="77777777" w:rsidR="00367B7F" w:rsidRPr="00367B7F" w:rsidRDefault="00367B7F" w:rsidP="00367B7F">
      <w:pPr>
        <w:spacing w:line="276" w:lineRule="auto"/>
        <w:jc w:val="both"/>
        <w:rPr>
          <w:sz w:val="22"/>
          <w:szCs w:val="22"/>
        </w:rPr>
      </w:pPr>
    </w:p>
    <w:p w14:paraId="553435DA" w14:textId="77777777" w:rsidR="00A66BC3" w:rsidRPr="00367B7F" w:rsidRDefault="00A66BC3" w:rsidP="00367B7F">
      <w:pPr>
        <w:spacing w:after="80" w:line="276" w:lineRule="auto"/>
        <w:rPr>
          <w:rFonts w:eastAsia="Arial"/>
          <w:b/>
          <w:sz w:val="24"/>
        </w:rPr>
      </w:pPr>
      <w:r w:rsidRPr="00367B7F">
        <w:rPr>
          <w:rFonts w:eastAsia="Arial"/>
          <w:b/>
          <w:sz w:val="24"/>
        </w:rPr>
        <w:t>Il modulo TFR3</w:t>
      </w:r>
    </w:p>
    <w:p w14:paraId="4F02E115" w14:textId="77777777" w:rsidR="00A66BC3" w:rsidRPr="00367B7F" w:rsidRDefault="00A66BC3" w:rsidP="00367B7F">
      <w:pPr>
        <w:spacing w:line="276" w:lineRule="auto"/>
        <w:jc w:val="both"/>
        <w:rPr>
          <w:rFonts w:eastAsia="Arial"/>
          <w:sz w:val="22"/>
          <w:szCs w:val="22"/>
        </w:rPr>
      </w:pPr>
      <w:r w:rsidRPr="00367B7F">
        <w:rPr>
          <w:rFonts w:eastAsia="Arial"/>
          <w:sz w:val="22"/>
          <w:szCs w:val="22"/>
        </w:rPr>
        <w:t>Per le assunzioni successive al 30 giugno 2026 il modulo TFR3 sostituisce il TFR2. È stato adottato con decreto interministeriale del 4 settembre 2026, pubblicato l'8 settembre 2026 nella sezione «Pubblicità legale» del sito del Ministero del Lavoro; i contenuti coincidono con la versione provvisoria messa a disposizione dal 1° luglio.</w:t>
      </w:r>
    </w:p>
    <w:p w14:paraId="3C81CA41" w14:textId="77777777" w:rsidR="00A66BC3" w:rsidRPr="00367B7F" w:rsidRDefault="00A66BC3" w:rsidP="00367B7F">
      <w:pPr>
        <w:spacing w:line="276" w:lineRule="auto"/>
        <w:jc w:val="both"/>
        <w:rPr>
          <w:rFonts w:eastAsia="Arial"/>
          <w:sz w:val="22"/>
          <w:szCs w:val="22"/>
        </w:rPr>
      </w:pPr>
      <w:r w:rsidRPr="00367B7F">
        <w:rPr>
          <w:rFonts w:eastAsia="Arial"/>
          <w:sz w:val="22"/>
          <w:szCs w:val="22"/>
        </w:rPr>
        <w:t>Il modulo deve essere consegnato al lavoratore all'atto dell'assunzione, insieme all'informativa, e restituito compilato e firmato. È composto da:</w:t>
      </w:r>
    </w:p>
    <w:p w14:paraId="5A390178"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la dichiarazione del lavoratore di aver ricevuto l'informativa (accordi collettivi applicabili, fondo di destinazione, funzionamento dell'adesione automatica, facoltà esercitabili entro 60 giorni);</w:t>
      </w:r>
    </w:p>
    <w:p w14:paraId="57FA3AF9"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la dichiarazione di essere o non essere lavoratore di prima assunzione e, in quest'ultimo caso, di avere o non avere in essere un'adesione con conferimento del TFR;</w:t>
      </w:r>
    </w:p>
    <w:p w14:paraId="35B54F41"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la Sezione 1 (prima assunzione) e la Sezione 2 (non prima assunzione già iscritto), in cui il lavoratore indica le proprie scelte: conferimento automatico, conferimento esplicito a un fondo indicato, mancato conferimento del contributo personale sotto la soglia dell'assegno sociale, mantenimento del TFR secondo l'art. 2120 c.c. (solo per la prima assunzione);</w:t>
      </w:r>
    </w:p>
    <w:p w14:paraId="07AE4091" w14:textId="77777777" w:rsidR="00A66BC3" w:rsidRPr="00F40D52" w:rsidRDefault="00A66BC3" w:rsidP="00F40D52">
      <w:pPr>
        <w:pStyle w:val="Paragrafoelenco"/>
        <w:numPr>
          <w:ilvl w:val="0"/>
          <w:numId w:val="13"/>
        </w:numPr>
        <w:spacing w:after="120" w:line="276" w:lineRule="auto"/>
        <w:ind w:left="357" w:hanging="357"/>
        <w:jc w:val="both"/>
        <w:rPr>
          <w:rFonts w:eastAsia="Arial"/>
        </w:rPr>
      </w:pPr>
      <w:r w:rsidRPr="00F40D52">
        <w:rPr>
          <w:rFonts w:asciiTheme="minorHAnsi" w:eastAsia="Arial" w:hAnsiTheme="minorHAnsi" w:cstheme="minorHAnsi"/>
        </w:rPr>
        <w:t>l'attestazione del datore di lavoro di aver fornito l'informativa, acquisito e conservato la dichiarazione e r</w:t>
      </w:r>
      <w:r w:rsidRPr="00F40D52">
        <w:rPr>
          <w:rFonts w:asciiTheme="minorHAnsi" w:eastAsia="Arial" w:hAnsiTheme="minorHAnsi" w:cstheme="minorHAnsi"/>
        </w:rPr>
        <w:t>i</w:t>
      </w:r>
      <w:r w:rsidRPr="00F40D52">
        <w:rPr>
          <w:rFonts w:asciiTheme="minorHAnsi" w:eastAsia="Arial" w:hAnsiTheme="minorHAnsi" w:cstheme="minorHAnsi"/>
        </w:rPr>
        <w:t>lasciato copia al lavoratore.</w:t>
      </w:r>
    </w:p>
    <w:p w14:paraId="42EFA6E2" w14:textId="77777777" w:rsidR="00A66BC3" w:rsidRDefault="00A66BC3" w:rsidP="00367B7F">
      <w:pPr>
        <w:spacing w:line="276" w:lineRule="auto"/>
        <w:jc w:val="both"/>
        <w:rPr>
          <w:rFonts w:eastAsia="Arial"/>
          <w:sz w:val="22"/>
          <w:szCs w:val="22"/>
        </w:rPr>
      </w:pPr>
      <w:r w:rsidRPr="00367B7F">
        <w:rPr>
          <w:rFonts w:eastAsia="Arial"/>
          <w:sz w:val="22"/>
          <w:szCs w:val="22"/>
        </w:rPr>
        <w:t>Il datore di lavoro conserva il modulo firmato e ne rilascia copia al lavoratore. Il decreto prevede che, da una data che sarà comunicata, il modulo potrà essere compilato anche online, con modalità tecniche da definire con successivo decreto direttoriale.</w:t>
      </w:r>
    </w:p>
    <w:p w14:paraId="517CB34B" w14:textId="77777777" w:rsidR="00F40D52" w:rsidRPr="00367B7F" w:rsidRDefault="00F40D52" w:rsidP="00367B7F">
      <w:pPr>
        <w:spacing w:line="276" w:lineRule="auto"/>
        <w:jc w:val="both"/>
        <w:rPr>
          <w:rFonts w:eastAsia="Arial"/>
          <w:sz w:val="22"/>
          <w:szCs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8"/>
      </w:tblGrid>
      <w:tr w:rsidR="00A66BC3" w14:paraId="4101F51A" w14:textId="77777777" w:rsidTr="00F40D52">
        <w:trPr>
          <w:tblHeader/>
          <w:jc w:val="center"/>
        </w:trPr>
        <w:tc>
          <w:tcPr>
            <w:tcW w:w="9638" w:type="dxa"/>
            <w:tcMar>
              <w:top w:w="130" w:type="dxa"/>
              <w:left w:w="160" w:type="dxa"/>
              <w:bottom w:w="130" w:type="dxa"/>
              <w:right w:w="160" w:type="dxa"/>
            </w:tcMar>
          </w:tcPr>
          <w:p w14:paraId="7EE20C62" w14:textId="77777777" w:rsidR="00A66BC3" w:rsidRPr="00F40D52" w:rsidRDefault="00A66BC3" w:rsidP="00F40D52">
            <w:pPr>
              <w:spacing w:after="60" w:line="276" w:lineRule="auto"/>
              <w:jc w:val="both"/>
              <w:rPr>
                <w:sz w:val="22"/>
                <w:szCs w:val="22"/>
              </w:rPr>
            </w:pPr>
            <w:r w:rsidRPr="00F40D52">
              <w:rPr>
                <w:rFonts w:eastAsia="Arial"/>
                <w:b/>
                <w:sz w:val="22"/>
                <w:szCs w:val="22"/>
              </w:rPr>
              <w:t xml:space="preserve">RICORDA. </w:t>
            </w:r>
            <w:r w:rsidRPr="00F40D52">
              <w:rPr>
                <w:rFonts w:eastAsia="Arial"/>
                <w:sz w:val="22"/>
                <w:szCs w:val="22"/>
              </w:rPr>
              <w:t xml:space="preserve">Il modulo TFR3 non sostituisce l'informativa: l'obbligo di informare il lavoratore (art. 8, commi 8 e 9-bis, </w:t>
            </w:r>
            <w:proofErr w:type="spellStart"/>
            <w:r w:rsidRPr="00F40D52">
              <w:rPr>
                <w:rFonts w:eastAsia="Arial"/>
                <w:sz w:val="22"/>
                <w:szCs w:val="22"/>
              </w:rPr>
              <w:t>D.Lgs.</w:t>
            </w:r>
            <w:proofErr w:type="spellEnd"/>
            <w:r w:rsidRPr="00F40D52">
              <w:rPr>
                <w:rFonts w:eastAsia="Arial"/>
                <w:sz w:val="22"/>
                <w:szCs w:val="22"/>
              </w:rPr>
              <w:t xml:space="preserve"> n. 252/2005) resta autonomo. Il TFR3 non compilato o non restituito non blocca l'adesione automatica, che opera comunque allo scadere dei 60 giorni: per questo è essenziale poter dimostrare di aver consegnato l'informativa e di aver comunicato al lavoratore il termine per scegliere.</w:t>
            </w:r>
          </w:p>
        </w:tc>
      </w:tr>
    </w:tbl>
    <w:p w14:paraId="0324B6B3" w14:textId="77777777" w:rsidR="00A66BC3" w:rsidRDefault="00A66BC3" w:rsidP="00A66BC3">
      <w:pPr>
        <w:spacing w:after="20"/>
      </w:pPr>
    </w:p>
    <w:p w14:paraId="328192BF" w14:textId="77777777" w:rsidR="00A66BC3" w:rsidRPr="00F40D52" w:rsidRDefault="00A66BC3" w:rsidP="00F40D52">
      <w:pPr>
        <w:spacing w:after="80" w:line="276" w:lineRule="auto"/>
        <w:rPr>
          <w:rFonts w:eastAsia="Arial"/>
          <w:b/>
          <w:sz w:val="24"/>
        </w:rPr>
      </w:pPr>
      <w:r w:rsidRPr="00F40D52">
        <w:rPr>
          <w:rFonts w:eastAsia="Arial"/>
          <w:b/>
          <w:sz w:val="24"/>
        </w:rPr>
        <w:t>Le indicazioni da fornire ai lavoratori</w:t>
      </w:r>
    </w:p>
    <w:p w14:paraId="2FE77930" w14:textId="77777777" w:rsidR="00A66BC3" w:rsidRPr="00F40D52" w:rsidRDefault="00A66BC3" w:rsidP="00F40D52">
      <w:pPr>
        <w:spacing w:line="276" w:lineRule="auto"/>
        <w:jc w:val="both"/>
        <w:rPr>
          <w:rFonts w:eastAsia="Arial"/>
          <w:sz w:val="22"/>
          <w:szCs w:val="22"/>
        </w:rPr>
      </w:pPr>
      <w:r w:rsidRPr="00F40D52">
        <w:rPr>
          <w:rFonts w:eastAsia="Arial"/>
          <w:sz w:val="22"/>
          <w:szCs w:val="22"/>
        </w:rPr>
        <w:t>Al momento dell'assunzione è opportuno che l'azienda, con il supporto dello Studio, illustri al lavoratore in modo chiaro e neutrale:</w:t>
      </w:r>
    </w:p>
    <w:p w14:paraId="5E210213"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il nome del fondo pensione di destinazione in caso di silenzio e le misure di contribuzione previste dal contratto collettivo;</w:t>
      </w:r>
    </w:p>
    <w:p w14:paraId="3359725D"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che in assenza di scelta entro 60 giorni l'iscrizione al fondo avviene automaticamente, con effetto dalla data di assunzione;</w:t>
      </w:r>
    </w:p>
    <w:p w14:paraId="09851D00"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che entro lo stesso termine può rinunciare all'adesione automatica (se alla prima assunzione) oppure scegliere un fondo diverso;</w:t>
      </w:r>
    </w:p>
    <w:p w14:paraId="52B639DA"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che la scelta di lasciare il TFR in azienda può essere cambiata in seguito, mentre l'adesione a un fondo pensione non è revocabile;</w:t>
      </w:r>
    </w:p>
    <w:p w14:paraId="33D64A85"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che, se la retribuzione annua lorda è inferiore all'assegno sociale, può chiedere di non versare il proprio contributo;</w:t>
      </w:r>
    </w:p>
    <w:p w14:paraId="3EF5A07D"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che deve dichiarare con esattezza se ha avuto precedenti rapporti di lavoro e se è già iscritto a un fondo pensione con versamento del TFR.</w:t>
      </w:r>
    </w:p>
    <w:p w14:paraId="701AC2E2" w14:textId="77777777" w:rsidR="00A66BC3" w:rsidRDefault="00A66BC3" w:rsidP="00F40D52">
      <w:pPr>
        <w:spacing w:line="276" w:lineRule="auto"/>
        <w:jc w:val="both"/>
        <w:rPr>
          <w:rFonts w:eastAsia="Arial"/>
          <w:sz w:val="22"/>
          <w:szCs w:val="22"/>
        </w:rPr>
      </w:pPr>
      <w:r w:rsidRPr="00F40D52">
        <w:rPr>
          <w:rFonts w:eastAsia="Arial"/>
          <w:sz w:val="22"/>
          <w:szCs w:val="22"/>
        </w:rPr>
        <w:t>Lo Studio e l'azienda non devono orientare la decisione del lavoratore: il compito è fornire informazioni corrette e verificare che la scelta sia documentata.</w:t>
      </w:r>
    </w:p>
    <w:p w14:paraId="11B2F87E" w14:textId="77777777" w:rsidR="00F40D52" w:rsidRPr="00F40D52" w:rsidRDefault="00F40D52" w:rsidP="00F40D52">
      <w:pPr>
        <w:spacing w:line="276" w:lineRule="auto"/>
        <w:jc w:val="both"/>
        <w:rPr>
          <w:rFonts w:eastAsia="Arial"/>
          <w:sz w:val="22"/>
          <w:szCs w:val="22"/>
        </w:rPr>
      </w:pPr>
    </w:p>
    <w:p w14:paraId="4DB35262" w14:textId="77777777" w:rsidR="00A66BC3" w:rsidRPr="00F40D52" w:rsidRDefault="00A66BC3" w:rsidP="00F40D52">
      <w:pPr>
        <w:spacing w:after="80" w:line="276" w:lineRule="auto"/>
        <w:rPr>
          <w:rFonts w:eastAsia="Arial"/>
          <w:b/>
          <w:sz w:val="24"/>
        </w:rPr>
      </w:pPr>
      <w:r w:rsidRPr="00F40D52">
        <w:rPr>
          <w:rFonts w:eastAsia="Arial"/>
          <w:b/>
          <w:sz w:val="24"/>
        </w:rPr>
        <w:t>Istruzioni operative</w:t>
      </w:r>
    </w:p>
    <w:tbl>
      <w:tblPr>
        <w:tblStyle w:val="Grigliatabella"/>
        <w:tblW w:w="9922" w:type="dxa"/>
        <w:jc w:val="center"/>
        <w:tblLayout w:type="fixed"/>
        <w:tblLook w:val="04A0" w:firstRow="1" w:lastRow="0" w:firstColumn="1" w:lastColumn="0" w:noHBand="0" w:noVBand="1"/>
      </w:tblPr>
      <w:tblGrid>
        <w:gridCol w:w="680"/>
        <w:gridCol w:w="9242"/>
      </w:tblGrid>
      <w:tr w:rsidR="00A66BC3" w14:paraId="63682541" w14:textId="77777777" w:rsidTr="00F40D52">
        <w:trPr>
          <w:tblHeade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736C6439" w14:textId="77777777" w:rsidR="00A66BC3" w:rsidRPr="00A66BC3" w:rsidRDefault="00A66BC3" w:rsidP="008E69F2">
            <w:pPr>
              <w:spacing w:after="20"/>
            </w:pPr>
            <w:r w:rsidRPr="00A66BC3">
              <w:rPr>
                <w:rFonts w:eastAsia="Arial"/>
                <w:b/>
                <w:sz w:val="18"/>
              </w:rPr>
              <w:t>Step</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04DCAC2" w14:textId="77777777" w:rsidR="00A66BC3" w:rsidRPr="00A66BC3" w:rsidRDefault="00A66BC3" w:rsidP="008E69F2">
            <w:pPr>
              <w:spacing w:after="20"/>
            </w:pPr>
            <w:r w:rsidRPr="00A66BC3">
              <w:rPr>
                <w:rFonts w:eastAsia="Arial"/>
                <w:b/>
                <w:sz w:val="18"/>
              </w:rPr>
              <w:t>Azione</w:t>
            </w:r>
          </w:p>
        </w:tc>
      </w:tr>
      <w:tr w:rsidR="00A66BC3" w14:paraId="0DCD5C12" w14:textId="77777777" w:rsidTr="00F40D52">
        <w:trP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D6A11F8" w14:textId="77777777" w:rsidR="00A66BC3" w:rsidRDefault="00A66BC3" w:rsidP="008E69F2">
            <w:pPr>
              <w:spacing w:after="20"/>
              <w:jc w:val="center"/>
            </w:pPr>
            <w:r>
              <w:rPr>
                <w:rFonts w:eastAsia="Arial"/>
                <w:b/>
                <w:color w:val="222222"/>
                <w:sz w:val="18"/>
              </w:rPr>
              <w:t>1</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9402B63" w14:textId="77777777" w:rsidR="00A66BC3" w:rsidRDefault="00A66BC3" w:rsidP="008E69F2">
            <w:pPr>
              <w:spacing w:after="20"/>
            </w:pPr>
            <w:r>
              <w:rPr>
                <w:rFonts w:eastAsia="Arial"/>
                <w:color w:val="222222"/>
                <w:sz w:val="18"/>
              </w:rPr>
              <w:t>Comunicare allo Studio ogni nuova assunzione con anticipo, indicando data di inizio, tipologia e durata del co</w:t>
            </w:r>
            <w:r>
              <w:rPr>
                <w:rFonts w:eastAsia="Arial"/>
                <w:color w:val="222222"/>
                <w:sz w:val="18"/>
              </w:rPr>
              <w:t>n</w:t>
            </w:r>
            <w:r>
              <w:rPr>
                <w:rFonts w:eastAsia="Arial"/>
                <w:color w:val="222222"/>
                <w:sz w:val="18"/>
              </w:rPr>
              <w:t>tratto.</w:t>
            </w:r>
          </w:p>
        </w:tc>
      </w:tr>
      <w:tr w:rsidR="00A66BC3" w14:paraId="644E2983" w14:textId="77777777" w:rsidTr="00F40D52">
        <w:trP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1A51CF9F" w14:textId="77777777" w:rsidR="00A66BC3" w:rsidRDefault="00A66BC3" w:rsidP="008E69F2">
            <w:pPr>
              <w:spacing w:after="20"/>
              <w:jc w:val="center"/>
            </w:pPr>
            <w:r>
              <w:rPr>
                <w:rFonts w:eastAsia="Arial"/>
                <w:b/>
                <w:color w:val="222222"/>
                <w:sz w:val="18"/>
              </w:rPr>
              <w:t>2</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4F96B943" w14:textId="77777777" w:rsidR="00A66BC3" w:rsidRDefault="00A66BC3" w:rsidP="008E69F2">
            <w:pPr>
              <w:spacing w:after="20"/>
            </w:pPr>
            <w:r>
              <w:rPr>
                <w:rFonts w:eastAsia="Arial"/>
                <w:color w:val="222222"/>
                <w:sz w:val="18"/>
              </w:rPr>
              <w:t>Consegnare al lavoratore, il giorno dell'assunzione, l'informativa e il modulo TFR3 predisposti dallo Studio, co</w:t>
            </w:r>
            <w:r>
              <w:rPr>
                <w:rFonts w:eastAsia="Arial"/>
                <w:color w:val="222222"/>
                <w:sz w:val="18"/>
              </w:rPr>
              <w:t>n</w:t>
            </w:r>
            <w:r>
              <w:rPr>
                <w:rFonts w:eastAsia="Arial"/>
                <w:color w:val="222222"/>
                <w:sz w:val="18"/>
              </w:rPr>
              <w:t>servando prova della consegna.</w:t>
            </w:r>
          </w:p>
        </w:tc>
      </w:tr>
      <w:tr w:rsidR="00A66BC3" w14:paraId="0745F5B5" w14:textId="77777777" w:rsidTr="00F40D52">
        <w:trP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59B6F31" w14:textId="77777777" w:rsidR="00A66BC3" w:rsidRDefault="00A66BC3" w:rsidP="008E69F2">
            <w:pPr>
              <w:spacing w:after="20"/>
              <w:jc w:val="center"/>
            </w:pPr>
            <w:r>
              <w:rPr>
                <w:rFonts w:eastAsia="Arial"/>
                <w:b/>
                <w:color w:val="222222"/>
                <w:sz w:val="18"/>
              </w:rPr>
              <w:t>3</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7057428" w14:textId="77777777" w:rsidR="00A66BC3" w:rsidRDefault="00A66BC3" w:rsidP="008E69F2">
            <w:pPr>
              <w:spacing w:after="20"/>
            </w:pPr>
            <w:r>
              <w:rPr>
                <w:rFonts w:eastAsia="Arial"/>
                <w:color w:val="222222"/>
                <w:sz w:val="18"/>
              </w:rPr>
              <w:t>Raccogliere il modulo firmato e trasmetterlo allo Studio non appena restituito; annotare la data di scadenza dei 60 giorni.</w:t>
            </w:r>
          </w:p>
        </w:tc>
      </w:tr>
      <w:tr w:rsidR="00A66BC3" w14:paraId="787A7F68" w14:textId="77777777" w:rsidTr="00F40D52">
        <w:trP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1EFC5B2" w14:textId="77777777" w:rsidR="00A66BC3" w:rsidRDefault="00A66BC3" w:rsidP="008E69F2">
            <w:pPr>
              <w:spacing w:after="20"/>
              <w:jc w:val="center"/>
            </w:pPr>
            <w:r>
              <w:rPr>
                <w:rFonts w:eastAsia="Arial"/>
                <w:b/>
                <w:color w:val="222222"/>
                <w:sz w:val="18"/>
              </w:rPr>
              <w:t>4</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06800633" w14:textId="77777777" w:rsidR="00A66BC3" w:rsidRDefault="00A66BC3" w:rsidP="008E69F2">
            <w:pPr>
              <w:spacing w:after="20"/>
            </w:pPr>
            <w:r>
              <w:rPr>
                <w:rFonts w:eastAsia="Arial"/>
                <w:color w:val="222222"/>
                <w:sz w:val="18"/>
              </w:rPr>
              <w:t>In caso di adesione (automatica o esplicita), sottoscrivere o completare la procedura di adesione presso il fondo di destinazione e verificare di essere registrati come azienda associata.</w:t>
            </w:r>
          </w:p>
        </w:tc>
      </w:tr>
      <w:tr w:rsidR="00A66BC3" w14:paraId="45DFCF84" w14:textId="77777777" w:rsidTr="00F40D52">
        <w:trP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0E76B16B" w14:textId="77777777" w:rsidR="00A66BC3" w:rsidRDefault="00A66BC3" w:rsidP="008E69F2">
            <w:pPr>
              <w:spacing w:after="20"/>
              <w:jc w:val="center"/>
            </w:pPr>
            <w:r>
              <w:rPr>
                <w:rFonts w:eastAsia="Arial"/>
                <w:b/>
                <w:color w:val="222222"/>
                <w:sz w:val="18"/>
              </w:rPr>
              <w:t>5</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7A811A6D" w14:textId="77777777" w:rsidR="00A66BC3" w:rsidRDefault="00A66BC3" w:rsidP="008E69F2">
            <w:pPr>
              <w:spacing w:after="20"/>
            </w:pPr>
            <w:r>
              <w:rPr>
                <w:rFonts w:eastAsia="Arial"/>
                <w:color w:val="222222"/>
                <w:sz w:val="18"/>
              </w:rPr>
              <w:t>Effettuare i versamenti al fondo dal mese successivo alla scadenza dei 60 giorni, comprensivi degli importi mat</w:t>
            </w:r>
            <w:r>
              <w:rPr>
                <w:rFonts w:eastAsia="Arial"/>
                <w:color w:val="222222"/>
                <w:sz w:val="18"/>
              </w:rPr>
              <w:t>u</w:t>
            </w:r>
            <w:r>
              <w:rPr>
                <w:rFonts w:eastAsia="Arial"/>
                <w:color w:val="222222"/>
                <w:sz w:val="18"/>
              </w:rPr>
              <w:t>rati dalla data di assunzione, e successivamente alle scadenze ordinarie.</w:t>
            </w:r>
          </w:p>
        </w:tc>
      </w:tr>
      <w:tr w:rsidR="00A66BC3" w14:paraId="01DC6346" w14:textId="77777777" w:rsidTr="00F40D52">
        <w:trPr>
          <w:jc w:val="center"/>
        </w:trPr>
        <w:tc>
          <w:tcPr>
            <w:tcW w:w="680"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628E7FA" w14:textId="77777777" w:rsidR="00A66BC3" w:rsidRDefault="00A66BC3" w:rsidP="008E69F2">
            <w:pPr>
              <w:spacing w:after="20"/>
              <w:jc w:val="center"/>
            </w:pPr>
            <w:r>
              <w:rPr>
                <w:rFonts w:eastAsia="Arial"/>
                <w:b/>
                <w:color w:val="222222"/>
                <w:sz w:val="18"/>
              </w:rPr>
              <w:t>6</w:t>
            </w:r>
          </w:p>
        </w:tc>
        <w:tc>
          <w:tcPr>
            <w:tcW w:w="9242"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A58204F" w14:textId="77777777" w:rsidR="00A66BC3" w:rsidRDefault="00A66BC3" w:rsidP="008E69F2">
            <w:pPr>
              <w:spacing w:after="20"/>
            </w:pPr>
            <w:r>
              <w:rPr>
                <w:rFonts w:eastAsia="Arial"/>
                <w:color w:val="222222"/>
                <w:sz w:val="18"/>
              </w:rPr>
              <w:t>Conservare l'originale del TFR3, l'informativa e le comunicazioni al fondo nel fascicolo del dipendente e cons</w:t>
            </w:r>
            <w:r>
              <w:rPr>
                <w:rFonts w:eastAsia="Arial"/>
                <w:color w:val="222222"/>
                <w:sz w:val="18"/>
              </w:rPr>
              <w:t>e</w:t>
            </w:r>
            <w:r>
              <w:rPr>
                <w:rFonts w:eastAsia="Arial"/>
                <w:color w:val="222222"/>
                <w:sz w:val="18"/>
              </w:rPr>
              <w:t>gnare copia al lavoratore.</w:t>
            </w:r>
          </w:p>
        </w:tc>
      </w:tr>
    </w:tbl>
    <w:p w14:paraId="34DABDEF" w14:textId="77777777" w:rsidR="00F40D52" w:rsidRDefault="00F40D52" w:rsidP="00A66BC3">
      <w:pPr>
        <w:spacing w:before="160" w:after="80" w:line="259" w:lineRule="auto"/>
      </w:pPr>
    </w:p>
    <w:p w14:paraId="2E86CCAC" w14:textId="77777777" w:rsidR="00F40D52" w:rsidRPr="00F40D52" w:rsidRDefault="00F40D52" w:rsidP="00F40D52">
      <w:pPr>
        <w:pBdr>
          <w:top w:val="single" w:sz="4" w:space="1" w:color="auto"/>
          <w:left w:val="single" w:sz="4" w:space="4" w:color="auto"/>
          <w:bottom w:val="single" w:sz="4" w:space="1" w:color="auto"/>
          <w:right w:val="single" w:sz="4" w:space="4" w:color="auto"/>
        </w:pBdr>
        <w:spacing w:after="60" w:line="276" w:lineRule="auto"/>
        <w:rPr>
          <w:sz w:val="22"/>
          <w:szCs w:val="22"/>
        </w:rPr>
      </w:pPr>
      <w:r w:rsidRPr="00F40D52">
        <w:rPr>
          <w:rFonts w:eastAsia="Arial"/>
          <w:b/>
          <w:sz w:val="22"/>
          <w:szCs w:val="22"/>
        </w:rPr>
        <w:t xml:space="preserve">APPROFONDIMENTO. </w:t>
      </w:r>
      <w:r w:rsidRPr="00F40D52">
        <w:rPr>
          <w:rFonts w:eastAsia="Arial"/>
          <w:sz w:val="22"/>
          <w:szCs w:val="22"/>
        </w:rPr>
        <w:t>Per le assunzioni avvenute tra luglio e settembre 2026 gestite con il modulo provvisorio, lo Studio verifica che la dichiarazione sia completa e coerente con le scelte effettivamente applicate in busta paga. Dove il termine di 60 giorni è già scaduto senza scelta, occorre accertare che l'adesione sia stata comunicata al fondo e che i versamenti arretrati dalla data di assunzione siano stati effettuati; in caso contrario lo Studio concorda con l'azienda le modalità di regolarizzazione.</w:t>
      </w:r>
    </w:p>
    <w:p w14:paraId="74E6DB49" w14:textId="77777777" w:rsidR="00F40D52" w:rsidRDefault="00F40D52" w:rsidP="00A66BC3">
      <w:pPr>
        <w:spacing w:before="160" w:after="80" w:line="259" w:lineRule="auto"/>
      </w:pPr>
    </w:p>
    <w:p w14:paraId="0C5E5FFC" w14:textId="77777777" w:rsidR="00A66BC3" w:rsidRPr="00F40D52" w:rsidRDefault="00A66BC3" w:rsidP="00F40D52">
      <w:pPr>
        <w:spacing w:after="80" w:line="276" w:lineRule="auto"/>
        <w:rPr>
          <w:rFonts w:eastAsia="Arial"/>
          <w:b/>
          <w:sz w:val="24"/>
        </w:rPr>
      </w:pPr>
      <w:proofErr w:type="spellStart"/>
      <w:r w:rsidRPr="00F40D52">
        <w:rPr>
          <w:rFonts w:eastAsia="Arial"/>
          <w:b/>
          <w:sz w:val="24"/>
        </w:rPr>
        <w:t>Checklist</w:t>
      </w:r>
      <w:proofErr w:type="spellEnd"/>
      <w:r w:rsidRPr="00F40D52">
        <w:rPr>
          <w:rFonts w:eastAsia="Arial"/>
          <w:b/>
          <w:sz w:val="24"/>
        </w:rPr>
        <w:t xml:space="preserve"> operativa</w:t>
      </w:r>
    </w:p>
    <w:p w14:paraId="1B950FAE" w14:textId="77777777" w:rsidR="00A66BC3" w:rsidRDefault="00A66BC3" w:rsidP="00F40D52">
      <w:pPr>
        <w:spacing w:line="276" w:lineRule="auto"/>
        <w:jc w:val="both"/>
        <w:rPr>
          <w:rFonts w:eastAsia="Arial"/>
          <w:sz w:val="22"/>
          <w:szCs w:val="22"/>
        </w:rPr>
      </w:pPr>
      <w:r w:rsidRPr="00F40D52">
        <w:rPr>
          <w:rFonts w:eastAsia="Arial"/>
          <w:sz w:val="22"/>
          <w:szCs w:val="22"/>
        </w:rPr>
        <w:t>La checklist può essere allegata alla pratica di assunzione e utilizzata come promemoria condiviso tra azienda e Studio.</w:t>
      </w:r>
    </w:p>
    <w:p w14:paraId="0104CD9C" w14:textId="77777777" w:rsidR="00F40D52" w:rsidRPr="00F40D52" w:rsidRDefault="00F40D52" w:rsidP="00F40D52">
      <w:pPr>
        <w:spacing w:line="276" w:lineRule="auto"/>
        <w:jc w:val="both"/>
        <w:rPr>
          <w:sz w:val="22"/>
          <w:szCs w:val="22"/>
        </w:rPr>
      </w:pPr>
    </w:p>
    <w:p w14:paraId="4087447A" w14:textId="77777777" w:rsidR="00A66BC3" w:rsidRPr="004C4091" w:rsidRDefault="00A66BC3" w:rsidP="00F40D52">
      <w:pPr>
        <w:spacing w:after="80" w:line="276" w:lineRule="auto"/>
        <w:rPr>
          <w:rFonts w:eastAsia="Arial"/>
          <w:b/>
          <w:sz w:val="22"/>
          <w:szCs w:val="22"/>
        </w:rPr>
      </w:pPr>
      <w:r w:rsidRPr="004C4091">
        <w:rPr>
          <w:rFonts w:eastAsia="Arial"/>
          <w:b/>
          <w:sz w:val="22"/>
          <w:szCs w:val="22"/>
        </w:rPr>
        <w:t>Attività a carico dell'azienda</w:t>
      </w:r>
    </w:p>
    <w:tbl>
      <w:tblPr>
        <w:tblStyle w:val="Grigliatabella"/>
        <w:tblW w:w="0" w:type="auto"/>
        <w:jc w:val="center"/>
        <w:tblLayout w:type="fixed"/>
        <w:tblLook w:val="04A0" w:firstRow="1" w:lastRow="0" w:firstColumn="1" w:lastColumn="0" w:noHBand="0" w:noVBand="1"/>
      </w:tblPr>
      <w:tblGrid>
        <w:gridCol w:w="567"/>
        <w:gridCol w:w="1927"/>
        <w:gridCol w:w="7427"/>
      </w:tblGrid>
      <w:tr w:rsidR="00A66BC3" w14:paraId="7F695C84" w14:textId="77777777" w:rsidTr="00A66BC3">
        <w:trPr>
          <w:tblHeader/>
          <w:jc w:val="center"/>
        </w:trPr>
        <w:tc>
          <w:tcPr>
            <w:tcW w:w="56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05AD3FD" w14:textId="77777777" w:rsidR="00A66BC3" w:rsidRPr="00A66BC3" w:rsidRDefault="00A66BC3" w:rsidP="008E69F2">
            <w:pPr>
              <w:spacing w:after="20"/>
            </w:pP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7835851" w14:textId="77777777" w:rsidR="00A66BC3" w:rsidRPr="00A66BC3" w:rsidRDefault="00A66BC3" w:rsidP="008E69F2">
            <w:pPr>
              <w:spacing w:after="20"/>
            </w:pPr>
            <w:r w:rsidRPr="00A66BC3">
              <w:rPr>
                <w:rFonts w:eastAsia="Arial"/>
                <w:b/>
                <w:sz w:val="17"/>
              </w:rPr>
              <w:t>Fase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64DFF93C" w14:textId="77777777" w:rsidR="00A66BC3" w:rsidRPr="00A66BC3" w:rsidRDefault="00A66BC3" w:rsidP="008E69F2">
            <w:pPr>
              <w:spacing w:after="20"/>
            </w:pPr>
            <w:r w:rsidRPr="00A66BC3">
              <w:rPr>
                <w:rFonts w:eastAsia="Arial"/>
                <w:b/>
                <w:sz w:val="17"/>
              </w:rPr>
              <w:t>Attività</w:t>
            </w:r>
          </w:p>
        </w:tc>
      </w:tr>
      <w:tr w:rsidR="00A66BC3" w14:paraId="0AC0A2C9"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080F3F79"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4C02C0D3" w14:textId="77777777" w:rsidR="00A66BC3" w:rsidRDefault="00A66BC3" w:rsidP="008E69F2">
            <w:pPr>
              <w:spacing w:after="20"/>
            </w:pPr>
            <w:r>
              <w:rPr>
                <w:rFonts w:eastAsia="Arial"/>
                <w:b/>
                <w:color w:val="222222"/>
                <w:sz w:val="17"/>
              </w:rPr>
              <w:t>Assunzione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0AC3D84" w14:textId="77777777" w:rsidR="00A66BC3" w:rsidRDefault="00A66BC3" w:rsidP="008E69F2">
            <w:pPr>
              <w:spacing w:after="20"/>
            </w:pPr>
            <w:r>
              <w:rPr>
                <w:rFonts w:eastAsia="Arial"/>
                <w:color w:val="222222"/>
                <w:sz w:val="17"/>
              </w:rPr>
              <w:t>Segnalare in anticipo allo Studio la nuova assunzione e la durata prevista del rapporto.</w:t>
            </w:r>
          </w:p>
        </w:tc>
      </w:tr>
      <w:tr w:rsidR="00A66BC3" w14:paraId="6CB04C62"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1B31A47B"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A7FC3A5" w14:textId="77777777" w:rsidR="00A66BC3" w:rsidRDefault="00A66BC3" w:rsidP="008E69F2">
            <w:pPr>
              <w:spacing w:after="20"/>
            </w:pPr>
            <w:r>
              <w:rPr>
                <w:rFonts w:eastAsia="Arial"/>
                <w:b/>
                <w:color w:val="222222"/>
                <w:sz w:val="17"/>
              </w:rPr>
              <w:t>Informativa</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72817D49" w14:textId="77777777" w:rsidR="00A66BC3" w:rsidRDefault="00A66BC3" w:rsidP="008E69F2">
            <w:pPr>
              <w:spacing w:after="20"/>
            </w:pPr>
            <w:r>
              <w:rPr>
                <w:rFonts w:eastAsia="Arial"/>
                <w:color w:val="222222"/>
                <w:sz w:val="17"/>
              </w:rPr>
              <w:t>Consegnare al lavoratore informativa e modulo TFR3 il giorno dell'assunzione; far firmare per r</w:t>
            </w:r>
            <w:r>
              <w:rPr>
                <w:rFonts w:eastAsia="Arial"/>
                <w:color w:val="222222"/>
                <w:sz w:val="17"/>
              </w:rPr>
              <w:t>i</w:t>
            </w:r>
            <w:r>
              <w:rPr>
                <w:rFonts w:eastAsia="Arial"/>
                <w:color w:val="222222"/>
                <w:sz w:val="17"/>
              </w:rPr>
              <w:t>cevuta.</w:t>
            </w:r>
          </w:p>
        </w:tc>
      </w:tr>
      <w:tr w:rsidR="00A66BC3" w14:paraId="11C3F826"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426F36F9"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F9CD389" w14:textId="77777777" w:rsidR="00A66BC3" w:rsidRDefault="00A66BC3" w:rsidP="008E69F2">
            <w:pPr>
              <w:spacing w:after="20"/>
            </w:pPr>
            <w:r>
              <w:rPr>
                <w:rFonts w:eastAsia="Arial"/>
                <w:b/>
                <w:color w:val="222222"/>
                <w:sz w:val="17"/>
              </w:rPr>
              <w:t>Raccolta TFR3</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7E6C09E1" w14:textId="77777777" w:rsidR="00A66BC3" w:rsidRDefault="00A66BC3" w:rsidP="008E69F2">
            <w:pPr>
              <w:spacing w:after="20"/>
            </w:pPr>
            <w:r>
              <w:rPr>
                <w:rFonts w:eastAsia="Arial"/>
                <w:color w:val="222222"/>
                <w:sz w:val="17"/>
              </w:rPr>
              <w:t>Ottenere il modulo compilato e firmato, inviarne copia allo Studio e consegnarne copia al lavor</w:t>
            </w:r>
            <w:r>
              <w:rPr>
                <w:rFonts w:eastAsia="Arial"/>
                <w:color w:val="222222"/>
                <w:sz w:val="17"/>
              </w:rPr>
              <w:t>a</w:t>
            </w:r>
            <w:r>
              <w:rPr>
                <w:rFonts w:eastAsia="Arial"/>
                <w:color w:val="222222"/>
                <w:sz w:val="17"/>
              </w:rPr>
              <w:t>tore.</w:t>
            </w:r>
          </w:p>
        </w:tc>
      </w:tr>
      <w:tr w:rsidR="00A66BC3" w14:paraId="05D13F0B"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26138394"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5AB79F7" w14:textId="77777777" w:rsidR="00A66BC3" w:rsidRDefault="00A66BC3" w:rsidP="008E69F2">
            <w:pPr>
              <w:spacing w:after="20"/>
            </w:pPr>
            <w:r>
              <w:rPr>
                <w:rFonts w:eastAsia="Arial"/>
                <w:b/>
                <w:color w:val="222222"/>
                <w:sz w:val="17"/>
              </w:rPr>
              <w:t>Fondo</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E72D139" w14:textId="77777777" w:rsidR="00A66BC3" w:rsidRDefault="00A66BC3" w:rsidP="008E69F2">
            <w:pPr>
              <w:spacing w:after="20"/>
            </w:pPr>
            <w:r>
              <w:rPr>
                <w:rFonts w:eastAsia="Arial"/>
                <w:color w:val="222222"/>
                <w:sz w:val="17"/>
              </w:rPr>
              <w:t>Verificare con lo Studio il fondo di destinazione previsto dal CCNL e l'iscrizione dell'azienda al fondo.</w:t>
            </w:r>
          </w:p>
        </w:tc>
      </w:tr>
      <w:tr w:rsidR="00A66BC3" w14:paraId="4A5769DA"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476C3979"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1DE5C4CE" w14:textId="77777777" w:rsidR="00A66BC3" w:rsidRDefault="00A66BC3" w:rsidP="008E69F2">
            <w:pPr>
              <w:spacing w:after="20"/>
            </w:pPr>
            <w:r>
              <w:rPr>
                <w:rFonts w:eastAsia="Arial"/>
                <w:b/>
                <w:color w:val="222222"/>
                <w:sz w:val="17"/>
              </w:rPr>
              <w:t>Scadenza 60 gg</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12BBD141" w14:textId="77777777" w:rsidR="00A66BC3" w:rsidRDefault="00A66BC3" w:rsidP="008E69F2">
            <w:pPr>
              <w:spacing w:after="20"/>
            </w:pPr>
            <w:r>
              <w:rPr>
                <w:rFonts w:eastAsia="Arial"/>
                <w:color w:val="222222"/>
                <w:sz w:val="17"/>
              </w:rPr>
              <w:t>Segnalare allo Studio eventuali moduli non restituiti prima della scadenza dei 60 giorni.</w:t>
            </w:r>
          </w:p>
        </w:tc>
      </w:tr>
      <w:tr w:rsidR="00A66BC3" w14:paraId="7F87757B"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1684B5BA"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7C3C58C3" w14:textId="77777777" w:rsidR="00A66BC3" w:rsidRDefault="00A66BC3" w:rsidP="008E69F2">
            <w:pPr>
              <w:spacing w:after="20"/>
            </w:pPr>
            <w:r>
              <w:rPr>
                <w:rFonts w:eastAsia="Arial"/>
                <w:b/>
                <w:color w:val="222222"/>
                <w:sz w:val="17"/>
              </w:rPr>
              <w:t>Versamenti</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22639E3" w14:textId="77777777" w:rsidR="00A66BC3" w:rsidRDefault="00A66BC3" w:rsidP="008E69F2">
            <w:pPr>
              <w:spacing w:after="20"/>
            </w:pPr>
            <w:r>
              <w:rPr>
                <w:rFonts w:eastAsia="Arial"/>
                <w:color w:val="222222"/>
                <w:sz w:val="17"/>
              </w:rPr>
              <w:t>Pagare al fondo i contributi e il TFR alle scadenze indicate dallo Studio, inclusi gli arretrati dalla data di assunzione.</w:t>
            </w:r>
          </w:p>
        </w:tc>
      </w:tr>
      <w:tr w:rsidR="00A66BC3" w14:paraId="5CF91E84"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0AB2DC7C"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0AC12AA3" w14:textId="77777777" w:rsidR="00A66BC3" w:rsidRDefault="00A66BC3" w:rsidP="008E69F2">
            <w:pPr>
              <w:spacing w:after="20"/>
            </w:pPr>
            <w:r>
              <w:rPr>
                <w:rFonts w:eastAsia="Arial"/>
                <w:b/>
                <w:color w:val="222222"/>
                <w:sz w:val="17"/>
              </w:rPr>
              <w:t>Conservazione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F8D5B6D" w14:textId="77777777" w:rsidR="00A66BC3" w:rsidRDefault="00A66BC3" w:rsidP="008E69F2">
            <w:pPr>
              <w:spacing w:after="20"/>
            </w:pPr>
            <w:r>
              <w:rPr>
                <w:rFonts w:eastAsia="Arial"/>
                <w:color w:val="222222"/>
                <w:sz w:val="17"/>
              </w:rPr>
              <w:t>Conservare nel fascicolo del dipendente TFR3 originale, informativa e ricevute dei versamenti.</w:t>
            </w:r>
          </w:p>
        </w:tc>
      </w:tr>
    </w:tbl>
    <w:p w14:paraId="0C125FAD" w14:textId="77777777" w:rsidR="00F40D52" w:rsidRDefault="00F40D52" w:rsidP="00A66BC3">
      <w:pPr>
        <w:spacing w:after="20"/>
      </w:pPr>
    </w:p>
    <w:p w14:paraId="1D030D64" w14:textId="77777777" w:rsidR="00A66BC3" w:rsidRPr="004C4091" w:rsidRDefault="00A66BC3" w:rsidP="00F40D52">
      <w:pPr>
        <w:spacing w:after="80" w:line="276" w:lineRule="auto"/>
        <w:rPr>
          <w:rFonts w:eastAsia="Arial"/>
          <w:b/>
          <w:sz w:val="22"/>
          <w:szCs w:val="22"/>
        </w:rPr>
      </w:pPr>
      <w:r w:rsidRPr="004C4091">
        <w:rPr>
          <w:rFonts w:eastAsia="Arial"/>
          <w:b/>
          <w:sz w:val="22"/>
          <w:szCs w:val="22"/>
        </w:rPr>
        <w:t>Attività a carico dello Studio</w:t>
      </w:r>
    </w:p>
    <w:tbl>
      <w:tblPr>
        <w:tblStyle w:val="Grigliatabella"/>
        <w:tblW w:w="0" w:type="auto"/>
        <w:jc w:val="center"/>
        <w:tblLayout w:type="fixed"/>
        <w:tblLook w:val="04A0" w:firstRow="1" w:lastRow="0" w:firstColumn="1" w:lastColumn="0" w:noHBand="0" w:noVBand="1"/>
      </w:tblPr>
      <w:tblGrid>
        <w:gridCol w:w="567"/>
        <w:gridCol w:w="1927"/>
        <w:gridCol w:w="7427"/>
      </w:tblGrid>
      <w:tr w:rsidR="00A66BC3" w14:paraId="228D5F63" w14:textId="77777777" w:rsidTr="00A66BC3">
        <w:trPr>
          <w:tblHeader/>
          <w:jc w:val="center"/>
        </w:trPr>
        <w:tc>
          <w:tcPr>
            <w:tcW w:w="56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19257D69" w14:textId="77777777" w:rsidR="00A66BC3" w:rsidRPr="00A66BC3" w:rsidRDefault="00A66BC3" w:rsidP="008E69F2">
            <w:pPr>
              <w:spacing w:after="20"/>
              <w:rPr>
                <w:highlight w:val="black"/>
              </w:rPr>
            </w:pP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4E48F4F1" w14:textId="77777777" w:rsidR="00A66BC3" w:rsidRPr="00A66BC3" w:rsidRDefault="00A66BC3" w:rsidP="008E69F2">
            <w:pPr>
              <w:spacing w:after="20"/>
              <w:rPr>
                <w:highlight w:val="black"/>
              </w:rPr>
            </w:pPr>
            <w:r w:rsidRPr="00A66BC3">
              <w:rPr>
                <w:rFonts w:eastAsia="Arial"/>
                <w:b/>
                <w:color w:val="FFFFFF"/>
                <w:sz w:val="17"/>
                <w:highlight w:val="black"/>
              </w:rPr>
              <w:t>Fase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FE9AC8C" w14:textId="77777777" w:rsidR="00A66BC3" w:rsidRPr="00A66BC3" w:rsidRDefault="00A66BC3" w:rsidP="008E69F2">
            <w:pPr>
              <w:spacing w:after="20"/>
              <w:rPr>
                <w:highlight w:val="black"/>
              </w:rPr>
            </w:pPr>
            <w:r w:rsidRPr="00A66BC3">
              <w:rPr>
                <w:rFonts w:eastAsia="Arial"/>
                <w:b/>
                <w:color w:val="FFFFFF"/>
                <w:sz w:val="17"/>
                <w:highlight w:val="black"/>
              </w:rPr>
              <w:t>Attività</w:t>
            </w:r>
          </w:p>
        </w:tc>
      </w:tr>
      <w:tr w:rsidR="00A66BC3" w14:paraId="7C301A28"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24911B5A"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6DD322FC" w14:textId="77777777" w:rsidR="00A66BC3" w:rsidRDefault="00A66BC3" w:rsidP="008E69F2">
            <w:pPr>
              <w:spacing w:after="20"/>
            </w:pPr>
            <w:r>
              <w:rPr>
                <w:rFonts w:eastAsia="Arial"/>
                <w:b/>
                <w:color w:val="222222"/>
                <w:sz w:val="17"/>
              </w:rPr>
              <w:t>Fondo applicabile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7F20ED6" w14:textId="77777777" w:rsidR="00A66BC3" w:rsidRDefault="00A66BC3" w:rsidP="008E69F2">
            <w:pPr>
              <w:spacing w:after="20"/>
            </w:pPr>
            <w:r>
              <w:rPr>
                <w:rFonts w:eastAsia="Arial"/>
                <w:color w:val="222222"/>
                <w:sz w:val="17"/>
              </w:rPr>
              <w:t>Indi</w:t>
            </w:r>
            <w:bookmarkStart w:id="0" w:name="_GoBack"/>
            <w:bookmarkEnd w:id="0"/>
            <w:r>
              <w:rPr>
                <w:rFonts w:eastAsia="Arial"/>
                <w:color w:val="222222"/>
                <w:sz w:val="17"/>
              </w:rPr>
              <w:t>viduare il fondo di destinazione in base a CCNL, accordi territoriali o aziendali e iscrizioni prevalenti in azienda.</w:t>
            </w:r>
          </w:p>
        </w:tc>
      </w:tr>
      <w:tr w:rsidR="00A66BC3" w14:paraId="23E95128"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5C685861"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2A137827" w14:textId="77777777" w:rsidR="00A66BC3" w:rsidRDefault="00A66BC3" w:rsidP="008E69F2">
            <w:pPr>
              <w:spacing w:after="20"/>
            </w:pPr>
            <w:r>
              <w:rPr>
                <w:rFonts w:eastAsia="Arial"/>
                <w:b/>
                <w:color w:val="222222"/>
                <w:sz w:val="17"/>
              </w:rPr>
              <w:t>Modulistica</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47F52DC2" w14:textId="77777777" w:rsidR="00A66BC3" w:rsidRDefault="00A66BC3" w:rsidP="008E69F2">
            <w:pPr>
              <w:spacing w:after="20"/>
            </w:pPr>
            <w:r>
              <w:rPr>
                <w:rFonts w:eastAsia="Arial"/>
                <w:color w:val="222222"/>
                <w:sz w:val="17"/>
              </w:rPr>
              <w:t>Predisporre informativa e modulo TFR3 personalizzati per ciascun lavoratore, aggiornati alla normativa vigente.</w:t>
            </w:r>
          </w:p>
        </w:tc>
      </w:tr>
      <w:tr w:rsidR="00A66BC3" w14:paraId="4E8E6921"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48DB31AA"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1C0D2133" w14:textId="77777777" w:rsidR="00A66BC3" w:rsidRDefault="00A66BC3" w:rsidP="008E69F2">
            <w:pPr>
              <w:spacing w:after="20"/>
            </w:pPr>
            <w:r>
              <w:rPr>
                <w:rFonts w:eastAsia="Arial"/>
                <w:b/>
                <w:color w:val="222222"/>
                <w:sz w:val="17"/>
              </w:rPr>
              <w:t>Verifica posizione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EBF5E38" w14:textId="77777777" w:rsidR="00A66BC3" w:rsidRDefault="00A66BC3" w:rsidP="008E69F2">
            <w:pPr>
              <w:spacing w:after="20"/>
            </w:pPr>
            <w:r>
              <w:rPr>
                <w:rFonts w:eastAsia="Arial"/>
                <w:color w:val="222222"/>
                <w:sz w:val="17"/>
              </w:rPr>
              <w:t>Controllare le dichiarazioni del lavoratore su prima assunzione e adesioni pregresse con conf</w:t>
            </w:r>
            <w:r>
              <w:rPr>
                <w:rFonts w:eastAsia="Arial"/>
                <w:color w:val="222222"/>
                <w:sz w:val="17"/>
              </w:rPr>
              <w:t>e</w:t>
            </w:r>
            <w:r>
              <w:rPr>
                <w:rFonts w:eastAsia="Arial"/>
                <w:color w:val="222222"/>
                <w:sz w:val="17"/>
              </w:rPr>
              <w:t>rimento del TFR.</w:t>
            </w:r>
          </w:p>
        </w:tc>
      </w:tr>
      <w:tr w:rsidR="00A66BC3" w14:paraId="47BA886C"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4863E836"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BD0358F" w14:textId="77777777" w:rsidR="00A66BC3" w:rsidRDefault="00A66BC3" w:rsidP="008E69F2">
            <w:pPr>
              <w:spacing w:after="20"/>
            </w:pPr>
            <w:r>
              <w:rPr>
                <w:rFonts w:eastAsia="Arial"/>
                <w:b/>
                <w:color w:val="222222"/>
                <w:sz w:val="17"/>
              </w:rPr>
              <w:t>Scadenzario</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DA395E7" w14:textId="77777777" w:rsidR="00A66BC3" w:rsidRDefault="00A66BC3" w:rsidP="008E69F2">
            <w:pPr>
              <w:spacing w:after="20"/>
            </w:pPr>
            <w:r>
              <w:rPr>
                <w:rFonts w:eastAsia="Arial"/>
                <w:color w:val="222222"/>
                <w:sz w:val="17"/>
              </w:rPr>
              <w:t>Registrare data di assunzione e scadenza dei 60 giorni; sollecitare l'azienda in caso di modulo mancante.</w:t>
            </w:r>
          </w:p>
        </w:tc>
      </w:tr>
      <w:tr w:rsidR="00A66BC3" w14:paraId="4769ACA4"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5A107857"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44E58B08" w14:textId="77777777" w:rsidR="00A66BC3" w:rsidRDefault="00A66BC3" w:rsidP="008E69F2">
            <w:pPr>
              <w:spacing w:after="20"/>
            </w:pPr>
            <w:r>
              <w:rPr>
                <w:rFonts w:eastAsia="Arial"/>
                <w:b/>
                <w:color w:val="222222"/>
                <w:sz w:val="17"/>
              </w:rPr>
              <w:t>Paghe</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35137B30" w14:textId="77777777" w:rsidR="00A66BC3" w:rsidRDefault="00A66BC3" w:rsidP="008E69F2">
            <w:pPr>
              <w:spacing w:after="20"/>
            </w:pPr>
            <w:r>
              <w:rPr>
                <w:rFonts w:eastAsia="Arial"/>
                <w:color w:val="222222"/>
                <w:sz w:val="17"/>
              </w:rPr>
              <w:t>Impostare in busta paga TFR e contributi al fondo dal mese successivo alla scadenza, con il r</w:t>
            </w:r>
            <w:r>
              <w:rPr>
                <w:rFonts w:eastAsia="Arial"/>
                <w:color w:val="222222"/>
                <w:sz w:val="17"/>
              </w:rPr>
              <w:t>e</w:t>
            </w:r>
            <w:r>
              <w:rPr>
                <w:rFonts w:eastAsia="Arial"/>
                <w:color w:val="222222"/>
                <w:sz w:val="17"/>
              </w:rPr>
              <w:t>cupero degli arretrati.</w:t>
            </w:r>
          </w:p>
        </w:tc>
      </w:tr>
      <w:tr w:rsidR="00A66BC3" w14:paraId="559ED6A8"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3C10DF01"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6E47F184" w14:textId="77777777" w:rsidR="00A66BC3" w:rsidRDefault="00A66BC3" w:rsidP="008E69F2">
            <w:pPr>
              <w:spacing w:after="20"/>
            </w:pPr>
            <w:r>
              <w:rPr>
                <w:rFonts w:eastAsia="Arial"/>
                <w:b/>
                <w:color w:val="222222"/>
                <w:sz w:val="17"/>
              </w:rPr>
              <w:t>Tesoreria INPS</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59095215" w14:textId="77777777" w:rsidR="00A66BC3" w:rsidRDefault="00A66BC3" w:rsidP="008E69F2">
            <w:pPr>
              <w:spacing w:after="20"/>
            </w:pPr>
            <w:r>
              <w:rPr>
                <w:rFonts w:eastAsia="Arial"/>
                <w:color w:val="222222"/>
                <w:sz w:val="17"/>
              </w:rPr>
              <w:t>Verificare annualmente se l'azienda rientra nell'obbligo di versamento al Fondo di Tesoreria INPS in base alla nuova soglia dimensionale.</w:t>
            </w:r>
          </w:p>
        </w:tc>
      </w:tr>
      <w:tr w:rsidR="00A66BC3" w14:paraId="239A229D" w14:textId="77777777" w:rsidTr="008E69F2">
        <w:trPr>
          <w:jc w:val="center"/>
        </w:trPr>
        <w:tc>
          <w:tcPr>
            <w:tcW w:w="567" w:type="dxa"/>
            <w:tcBorders>
              <w:top w:val="single" w:sz="6" w:space="0" w:color="9BB9D3"/>
              <w:left w:val="single" w:sz="6" w:space="0" w:color="9BB9D3"/>
              <w:bottom w:val="single" w:sz="6" w:space="0" w:color="9BB9D3"/>
              <w:right w:val="single" w:sz="6" w:space="0" w:color="9BB9D3"/>
            </w:tcBorders>
            <w:shd w:val="clear" w:color="auto" w:fill="FFFFFF"/>
            <w:tcMar>
              <w:top w:w="80" w:type="dxa"/>
              <w:left w:w="85" w:type="dxa"/>
              <w:bottom w:w="80" w:type="dxa"/>
              <w:right w:w="85" w:type="dxa"/>
            </w:tcMar>
          </w:tcPr>
          <w:p w14:paraId="499DBB81" w14:textId="77777777" w:rsidR="00A66BC3" w:rsidRDefault="00A66BC3" w:rsidP="008E69F2">
            <w:pPr>
              <w:spacing w:after="20"/>
              <w:jc w:val="center"/>
            </w:pPr>
            <w:r>
              <w:rPr>
                <w:rFonts w:ascii="Segoe UI Symbol" w:eastAsia="Arial" w:hAnsi="Segoe UI Symbol" w:cs="Segoe UI Symbol"/>
                <w:color w:val="222222"/>
                <w:sz w:val="17"/>
              </w:rPr>
              <w:t>☐</w:t>
            </w:r>
          </w:p>
        </w:tc>
        <w:tc>
          <w:tcPr>
            <w:tcW w:w="19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432F20D9" w14:textId="77777777" w:rsidR="00A66BC3" w:rsidRDefault="00A66BC3" w:rsidP="008E69F2">
            <w:pPr>
              <w:spacing w:after="20"/>
            </w:pPr>
            <w:r>
              <w:rPr>
                <w:rFonts w:eastAsia="Arial"/>
                <w:b/>
                <w:color w:val="222222"/>
                <w:sz w:val="17"/>
              </w:rPr>
              <w:t>Assunzioni lug.–set. 2026</w:t>
            </w:r>
          </w:p>
        </w:tc>
        <w:tc>
          <w:tcPr>
            <w:tcW w:w="7427" w:type="dxa"/>
            <w:tcBorders>
              <w:top w:val="single" w:sz="6" w:space="0" w:color="9BB9D3"/>
              <w:left w:val="single" w:sz="6" w:space="0" w:color="9BB9D3"/>
              <w:bottom w:val="single" w:sz="6" w:space="0" w:color="9BB9D3"/>
              <w:right w:val="single" w:sz="6" w:space="0" w:color="9BB9D3"/>
            </w:tcBorders>
            <w:tcMar>
              <w:top w:w="80" w:type="dxa"/>
              <w:left w:w="85" w:type="dxa"/>
              <w:bottom w:w="80" w:type="dxa"/>
              <w:right w:w="85" w:type="dxa"/>
            </w:tcMar>
          </w:tcPr>
          <w:p w14:paraId="020C0EA3" w14:textId="77777777" w:rsidR="00A66BC3" w:rsidRDefault="00A66BC3" w:rsidP="008E69F2">
            <w:pPr>
              <w:spacing w:after="20"/>
            </w:pPr>
            <w:r>
              <w:rPr>
                <w:rFonts w:eastAsia="Arial"/>
                <w:color w:val="222222"/>
                <w:sz w:val="17"/>
              </w:rPr>
              <w:t>Riesaminare le posizioni gestite con il modulo provvisorio e segnalare eventuali regolarizzazioni.</w:t>
            </w:r>
          </w:p>
        </w:tc>
      </w:tr>
    </w:tbl>
    <w:p w14:paraId="6B2E98A2" w14:textId="77777777" w:rsidR="00A66BC3" w:rsidRDefault="00A66BC3" w:rsidP="00A66BC3">
      <w:pPr>
        <w:spacing w:after="20"/>
      </w:pPr>
    </w:p>
    <w:p w14:paraId="75A26726" w14:textId="77777777" w:rsidR="00A66BC3" w:rsidRPr="00F40D52" w:rsidRDefault="00A66BC3" w:rsidP="00F40D52">
      <w:pPr>
        <w:spacing w:afterLines="120" w:after="288" w:line="276" w:lineRule="auto"/>
        <w:jc w:val="both"/>
        <w:rPr>
          <w:sz w:val="22"/>
          <w:szCs w:val="22"/>
        </w:rPr>
      </w:pPr>
      <w:r w:rsidRPr="00F40D52">
        <w:rPr>
          <w:rFonts w:eastAsia="Arial"/>
          <w:color w:val="222222"/>
          <w:sz w:val="22"/>
          <w:szCs w:val="22"/>
        </w:rPr>
        <w:t>Lo Studio resta a disposizione per individuare il fondo pensione applicabile in base al contratto collettivo, predisporre la modulistica per le nuove assunzioni e verificare le posizioni dei lavoratori assunti dal 1° luglio 2026.</w:t>
      </w:r>
    </w:p>
    <w:p w14:paraId="040CD6D9" w14:textId="77777777" w:rsidR="00A66BC3" w:rsidRPr="004C4091" w:rsidRDefault="00A66BC3" w:rsidP="004C4091">
      <w:pPr>
        <w:spacing w:line="276" w:lineRule="auto"/>
        <w:jc w:val="both"/>
        <w:rPr>
          <w:sz w:val="22"/>
          <w:szCs w:val="22"/>
        </w:rPr>
      </w:pPr>
    </w:p>
    <w:p w14:paraId="5A119623" w14:textId="094A5789" w:rsidR="00A66BC3" w:rsidRPr="00F40D52" w:rsidRDefault="00A66BC3" w:rsidP="00F40D52">
      <w:pPr>
        <w:spacing w:after="80" w:line="276" w:lineRule="auto"/>
        <w:rPr>
          <w:rFonts w:eastAsia="Arial"/>
          <w:b/>
          <w:sz w:val="24"/>
        </w:rPr>
      </w:pPr>
      <w:r w:rsidRPr="00F40D52">
        <w:rPr>
          <w:rFonts w:eastAsia="Arial"/>
          <w:b/>
          <w:sz w:val="24"/>
        </w:rPr>
        <w:t>Fonti di riferimento</w:t>
      </w:r>
    </w:p>
    <w:p w14:paraId="6FB9962D" w14:textId="16DAB988"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Art. 1, comma 204, L. 30 dicembre 2025, n. 199 (Legge di Bilancio 2026), modifiche all'art. 8 del</w:t>
      </w:r>
      <w:r w:rsidR="004C4091">
        <w:rPr>
          <w:rFonts w:asciiTheme="minorHAnsi" w:eastAsia="Arial" w:hAnsiTheme="minorHAnsi" w:cstheme="minorHAnsi"/>
        </w:rPr>
        <w:t xml:space="preserve"> </w:t>
      </w:r>
      <w:proofErr w:type="spellStart"/>
      <w:r w:rsidR="004C4091">
        <w:rPr>
          <w:rFonts w:asciiTheme="minorHAnsi" w:eastAsia="Arial" w:hAnsiTheme="minorHAnsi" w:cstheme="minorHAnsi"/>
        </w:rPr>
        <w:t>D.Lgs.</w:t>
      </w:r>
      <w:proofErr w:type="spellEnd"/>
      <w:r w:rsidR="004C4091">
        <w:rPr>
          <w:rFonts w:asciiTheme="minorHAnsi" w:eastAsia="Arial" w:hAnsiTheme="minorHAnsi" w:cstheme="minorHAnsi"/>
        </w:rPr>
        <w:t xml:space="preserve"> 5 dicembre 2005, n. 252.</w:t>
      </w:r>
    </w:p>
    <w:p w14:paraId="3DC337E8"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 xml:space="preserve">Art. 8, commi 7, 7-bis, 7-ter, 7-quater, 7-quinquies, 8 e 9-bis, </w:t>
      </w:r>
      <w:proofErr w:type="spellStart"/>
      <w:r w:rsidRPr="00F40D52">
        <w:rPr>
          <w:rFonts w:asciiTheme="minorHAnsi" w:eastAsia="Arial" w:hAnsiTheme="minorHAnsi" w:cstheme="minorHAnsi"/>
        </w:rPr>
        <w:t>D.Lgs.</w:t>
      </w:r>
      <w:proofErr w:type="spellEnd"/>
      <w:r w:rsidRPr="00F40D52">
        <w:rPr>
          <w:rFonts w:asciiTheme="minorHAnsi" w:eastAsia="Arial" w:hAnsiTheme="minorHAnsi" w:cstheme="minorHAnsi"/>
        </w:rPr>
        <w:t xml:space="preserve"> n. 252/2005.</w:t>
      </w:r>
    </w:p>
    <w:p w14:paraId="054486FE"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Decreto interministeriale 4 settembre 2026, Allegato A – Modulo TFR3, pubblicato l'8 settembre 2026 sul sito del Ministero del Lavoro.</w:t>
      </w:r>
    </w:p>
    <w:p w14:paraId="30FB6B3B"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COVIP, deliberazione 19 giugno 2026, direttive sull'adesione automatica (G.U. n. 148 del 29 giugno 2026).</w:t>
      </w:r>
    </w:p>
    <w:p w14:paraId="384D8FAD"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D.M. 31 marzo 2020, n. 85, forma pensionistica complementare residuale.</w:t>
      </w:r>
    </w:p>
    <w:p w14:paraId="128DA024"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Art. 1, commi 755 e 756, L. 27 dicembre 2006, n. 296, e circolare INPS 5 febbraio 2026, n. 12 (Fondo di Tesoreria).</w:t>
      </w:r>
    </w:p>
    <w:p w14:paraId="5E4532B5" w14:textId="77777777" w:rsidR="00A66BC3" w:rsidRPr="00F40D52" w:rsidRDefault="00A66BC3" w:rsidP="00F40D52">
      <w:pPr>
        <w:pStyle w:val="Paragrafoelenco"/>
        <w:numPr>
          <w:ilvl w:val="0"/>
          <w:numId w:val="13"/>
        </w:numPr>
        <w:spacing w:after="120" w:line="276" w:lineRule="auto"/>
        <w:ind w:left="357" w:hanging="357"/>
        <w:jc w:val="both"/>
        <w:rPr>
          <w:rFonts w:asciiTheme="minorHAnsi" w:eastAsia="Arial" w:hAnsiTheme="minorHAnsi" w:cstheme="minorHAnsi"/>
        </w:rPr>
      </w:pPr>
      <w:r w:rsidRPr="00F40D52">
        <w:rPr>
          <w:rFonts w:asciiTheme="minorHAnsi" w:eastAsia="Arial" w:hAnsiTheme="minorHAnsi" w:cstheme="minorHAnsi"/>
        </w:rPr>
        <w:t>Art. 2120 c.c.; art. 3, commi 6 e 7, L. 8 agosto 1995, n. 335 (assegno sociale).</w:t>
      </w:r>
    </w:p>
    <w:p w14:paraId="75896DE4" w14:textId="1FB73B59" w:rsidR="00981706" w:rsidRPr="00F40D52" w:rsidRDefault="00981706" w:rsidP="00F40D52">
      <w:pPr>
        <w:pStyle w:val="Paragrafoelenco"/>
        <w:spacing w:after="120" w:line="276" w:lineRule="auto"/>
        <w:ind w:left="357"/>
        <w:jc w:val="both"/>
        <w:rPr>
          <w:rFonts w:asciiTheme="minorHAnsi" w:eastAsia="Arial" w:hAnsiTheme="minorHAnsi" w:cstheme="minorHAnsi"/>
        </w:rPr>
      </w:pPr>
    </w:p>
    <w:sectPr w:rsidR="00981706" w:rsidRPr="00F40D52">
      <w:headerReference w:type="default" r:id="rId8"/>
      <w:footerReference w:type="default" r:id="rId9"/>
      <w:pgSz w:w="11906" w:h="16838"/>
      <w:pgMar w:top="993" w:right="1134" w:bottom="851" w:left="1134" w:header="708" w:footer="708" w:gutter="0"/>
      <w:pgNumType w:start="1"/>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B90FD" w14:textId="77777777" w:rsidR="00D51262" w:rsidRDefault="00D51262">
      <w:pPr>
        <w:spacing w:after="0" w:line="240" w:lineRule="auto"/>
      </w:pPr>
      <w:r>
        <w:separator/>
      </w:r>
    </w:p>
  </w:endnote>
  <w:endnote w:type="continuationSeparator" w:id="0">
    <w:p w14:paraId="63D2B667" w14:textId="77777777" w:rsidR="00D51262" w:rsidRDefault="00D5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1"/>
    <w:family w:val="roman"/>
    <w:pitch w:val="variable"/>
  </w:font>
  <w:font w:name="Noto Sans">
    <w:altName w:val="Arial"/>
    <w:charset w:val="00"/>
    <w:family w:val="swiss"/>
    <w:pitch w:val="variable"/>
    <w:sig w:usb0="00000001"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OpenSymbol;MS Gothic">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rostil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sap;Arial Narrow">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D0DCA" w14:textId="77777777" w:rsidR="00FE3440" w:rsidRDefault="00337723">
    <w:pPr>
      <w:pStyle w:val="Pidipagina"/>
      <w:snapToGrid w:val="0"/>
      <w:ind w:left="0" w:right="360"/>
    </w:pPr>
    <w:r>
      <w:rPr>
        <w:noProof/>
        <w:lang w:eastAsia="it-IT"/>
      </w:rPr>
      <w:drawing>
        <wp:inline distT="0" distB="0" distL="0" distR="0" wp14:anchorId="5747461A" wp14:editId="6459469C">
          <wp:extent cx="3287395" cy="51371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11" t="-84" r="-11" b="-84"/>
                  <a:stretch>
                    <a:fillRect/>
                  </a:stretch>
                </pic:blipFill>
                <pic:spPr bwMode="auto">
                  <a:xfrm>
                    <a:off x="0" y="0"/>
                    <a:ext cx="3287395" cy="513715"/>
                  </a:xfrm>
                  <a:prstGeom prst="rect">
                    <a:avLst/>
                  </a:prstGeom>
                  <a:noFill/>
                </pic:spPr>
              </pic:pic>
            </a:graphicData>
          </a:graphic>
        </wp:inline>
      </w:drawing>
    </w:r>
    <w:r>
      <w:rPr>
        <w:noProof/>
        <w:lang w:eastAsia="it-IT"/>
      </w:rPr>
      <mc:AlternateContent>
        <mc:Choice Requires="wps">
          <w:drawing>
            <wp:anchor distT="0" distB="0" distL="0" distR="0" simplePos="0" relativeHeight="3" behindDoc="0" locked="0" layoutInCell="0" allowOverlap="1" wp14:anchorId="4FF6AF7B" wp14:editId="45B6CF3C">
              <wp:simplePos x="0" y="0"/>
              <wp:positionH relativeFrom="margin">
                <wp:align>right</wp:align>
              </wp:positionH>
              <wp:positionV relativeFrom="paragraph">
                <wp:posOffset>635</wp:posOffset>
              </wp:positionV>
              <wp:extent cx="64135" cy="378460"/>
              <wp:effectExtent l="0" t="0" r="0" b="0"/>
              <wp:wrapSquare wrapText="bothSides"/>
              <wp:docPr id="2" name="Frame1"/>
              <wp:cNvGraphicFramePr/>
              <a:graphic xmlns:a="http://schemas.openxmlformats.org/drawingml/2006/main">
                <a:graphicData uri="http://schemas.microsoft.com/office/word/2010/wordprocessingShape">
                  <wps:wsp>
                    <wps:cNvSpPr txBox="1"/>
                    <wps:spPr>
                      <a:xfrm>
                        <a:off x="0" y="0"/>
                        <a:ext cx="64135" cy="378460"/>
                      </a:xfrm>
                      <a:prstGeom prst="rect">
                        <a:avLst/>
                      </a:prstGeom>
                      <a:solidFill>
                        <a:srgbClr val="FFFFFF">
                          <a:alpha val="0"/>
                        </a:srgbClr>
                      </a:solidFill>
                    </wps:spPr>
                    <wps:txbx>
                      <w:txbxContent>
                        <w:p w14:paraId="28CED3F7" w14:textId="77777777" w:rsidR="00FE3440" w:rsidRDefault="00337723">
                          <w:pPr>
                            <w:pStyle w:val="Pidipagina"/>
                            <w:snapToGrid w:val="0"/>
                            <w:spacing w:before="380" w:after="0"/>
                            <w:ind w:left="0"/>
                            <w:rPr>
                              <w:rStyle w:val="Numeropagina"/>
                              <w:color w:val="000000"/>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noProof/>
                              <w:color w:val="000000"/>
                            </w:rPr>
                            <w:t>6</w:t>
                          </w:r>
                          <w:r>
                            <w:rPr>
                              <w:rStyle w:val="Numeropagina"/>
                              <w:color w:val="000000"/>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46.15pt;margin-top:.05pt;width:5.05pt;height:29.8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LAstAEAAGQDAAAOAAAAZHJzL2Uyb0RvYy54bWysU81u2zAMvg/YOwi6L07SLiuMOMXWIsWA&#10;YSvQ7gFkWYoFSKJAqbHz9qPkOC22WzEfJP7pIz+S3t6OzrKjwmjAN3y1WHKmvITO+EPDfz/vP91w&#10;FpPwnbDgVcNPKvLb3ccP2yHUag092E4hIxAf6yE0vE8p1FUVZa+ciAsIypNTAzqRSMVD1aEYCN3Z&#10;ar1cbqoBsAsIUsVI1vvJyXcFX2sl0y+to0rMNpxqS+XEcrb5rHZbUR9QhN7IcxniHVU4YTwlvUDd&#10;iyTYC5p/oJyRCBF0WkhwFWhtpCociM1q+Rebp14EVbhQc2K4tCn+P1j58/iIzHQNX3PmhaMR7ZGu&#10;Ve7MEGJNAU+BQtL4DUaa8GyPZMyER40u30SFkZ96fLr0VY2JSTJurldXnzmT5Ln6cnO9KW2vXt8G&#10;jOlBgWNZaDjS1EozxfFHTFQHhc4hOVUEa7q9sbYoeGjvLLKjoAnvyze9taEXk3VOF6fQgvcGo8o0&#10;JzpZSmM7nrm30J2Iuv3uqeN5e2YBZ6GdBeFlD7RXU+Eevr4k0KYUn0EnJMqcFRplqeG8dnlX3uol&#10;6vXn2P0BAAD//wMAUEsDBBQABgAIAAAAIQAhZQhR2AAAAAMBAAAPAAAAZHJzL2Rvd25yZXYueG1s&#10;TI9Bb8IwDIXvk/YfIiPtNlKYGNA1RRvTdp0ok7iGxjRVG6eqA3T/nvQ0Ttbzs977nG0G14oL9lx7&#10;UjCbJiCQSm9qqhT87r+eVyA4aDK69YQK/pBhkz8+ZDo1/ko7vBShEjGEONUKbAhdKiWXFp3mqe+Q&#10;onfyvdMhyr6SptfXGO5aOU+SV+l0TbHB6g63FsumODsFLz/z5YG/i89td8B1s+KP5kRWqafJ8P4G&#10;IuAQ/o9hxI/okEemoz+TYdEqiI+EcStGL4nzqGCxXoLMM3nPnt8AAAD//wMAUEsBAi0AFAAGAAgA&#10;AAAhALaDOJL+AAAA4QEAABMAAAAAAAAAAAAAAAAAAAAAAFtDb250ZW50X1R5cGVzXS54bWxQSwEC&#10;LQAUAAYACAAAACEAOP0h/9YAAACUAQAACwAAAAAAAAAAAAAAAAAvAQAAX3JlbHMvLnJlbHNQSwEC&#10;LQAUAAYACAAAACEAbXSwLLQBAABkAwAADgAAAAAAAAAAAAAAAAAuAgAAZHJzL2Uyb0RvYy54bWxQ&#10;SwECLQAUAAYACAAAACEAIWUIUdgAAAADAQAADwAAAAAAAAAAAAAAAAAOBAAAZHJzL2Rvd25yZXYu&#10;eG1sUEsFBgAAAAAEAAQA8wAAABMFAAAAAA==&#10;" o:allowincell="f" stroked="f">
              <v:fill opacity="0"/>
              <v:textbox inset="0,0,0,0">
                <w:txbxContent>
                  <w:p w14:paraId="28CED3F7" w14:textId="77777777" w:rsidR="00FE3440" w:rsidRDefault="00337723">
                    <w:pPr>
                      <w:pStyle w:val="Pidipagina"/>
                      <w:snapToGrid w:val="0"/>
                      <w:spacing w:before="380" w:after="0"/>
                      <w:ind w:left="0"/>
                      <w:rPr>
                        <w:rStyle w:val="Numeropagina"/>
                        <w:color w:val="000000"/>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noProof/>
                        <w:color w:val="000000"/>
                      </w:rPr>
                      <w:t>6</w:t>
                    </w:r>
                    <w:r>
                      <w:rPr>
                        <w:rStyle w:val="Numeropagina"/>
                        <w:color w:val="000000"/>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17B22B" w14:textId="77777777" w:rsidR="00D51262" w:rsidRDefault="00D51262">
      <w:pPr>
        <w:spacing w:after="0" w:line="240" w:lineRule="auto"/>
      </w:pPr>
      <w:r>
        <w:separator/>
      </w:r>
    </w:p>
  </w:footnote>
  <w:footnote w:type="continuationSeparator" w:id="0">
    <w:p w14:paraId="59ED0978" w14:textId="77777777" w:rsidR="00D51262" w:rsidRDefault="00D512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AF847" w14:textId="77777777" w:rsidR="00D90A7C" w:rsidRPr="007924C1" w:rsidRDefault="00D90A7C" w:rsidP="00D90A7C">
    <w:pPr>
      <w:pStyle w:val="Intestazione"/>
      <w:jc w:val="center"/>
      <w:rPr>
        <w:rFonts w:cs="Arial"/>
        <w:noProof/>
        <w:sz w:val="20"/>
        <w:szCs w:val="20"/>
      </w:rPr>
    </w:pPr>
    <w:r w:rsidRPr="007924C1">
      <w:rPr>
        <w:rFonts w:cs="Arial"/>
        <w:noProof/>
        <w:sz w:val="20"/>
        <w:szCs w:val="20"/>
      </w:rPr>
      <w:t>[inserire logo e/o intestazione dello studio]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B12E2"/>
    <w:multiLevelType w:val="multilevel"/>
    <w:tmpl w:val="58CE355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AF1B4A"/>
    <w:multiLevelType w:val="multilevel"/>
    <w:tmpl w:val="2AA20EA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370FE8"/>
    <w:multiLevelType w:val="multilevel"/>
    <w:tmpl w:val="FA3A0E1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F64026"/>
    <w:multiLevelType w:val="multilevel"/>
    <w:tmpl w:val="68364624"/>
    <w:lvl w:ilvl="0">
      <w:start w:val="1"/>
      <w:numFmt w:val="bullet"/>
      <w:pStyle w:val="elencopuntato2"/>
      <w:lvlText w:val=""/>
      <w:lvlJc w:val="left"/>
      <w:pPr>
        <w:tabs>
          <w:tab w:val="num" w:pos="1440"/>
        </w:tabs>
        <w:ind w:left="1432" w:hanging="352"/>
      </w:pPr>
      <w:rPr>
        <w:rFonts w:ascii="Symbol" w:hAnsi="Symbol" w:cs="Symbol" w:hint="default"/>
        <w:b/>
        <w:i w:val="0"/>
        <w:color w:val="00008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A256D4"/>
    <w:multiLevelType w:val="hybridMultilevel"/>
    <w:tmpl w:val="BA689F64"/>
    <w:lvl w:ilvl="0" w:tplc="5CC0C1AA">
      <w:numFmt w:val="bullet"/>
      <w:lvlText w:val="•"/>
      <w:lvlJc w:val="left"/>
      <w:pPr>
        <w:ind w:left="218"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B3A52CD"/>
    <w:multiLevelType w:val="hybridMultilevel"/>
    <w:tmpl w:val="859047C0"/>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40B8200B"/>
    <w:multiLevelType w:val="multilevel"/>
    <w:tmpl w:val="08A88A3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44734B"/>
    <w:multiLevelType w:val="multilevel"/>
    <w:tmpl w:val="CDB8B43A"/>
    <w:lvl w:ilvl="0">
      <w:start w:val="1"/>
      <w:numFmt w:val="bullet"/>
      <w:pStyle w:val="elencopuntato1"/>
      <w:lvlText w:val=""/>
      <w:lvlJc w:val="left"/>
      <w:pPr>
        <w:tabs>
          <w:tab w:val="num" w:pos="944"/>
        </w:tabs>
        <w:ind w:left="924" w:hanging="340"/>
      </w:pPr>
      <w:rPr>
        <w:rFonts w:ascii="MT Extra" w:hAnsi="MT Extra" w:cs="MT Extra" w:hint="default"/>
        <w:b/>
        <w:i w:val="0"/>
        <w:color w:val="00008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2685127"/>
    <w:multiLevelType w:val="hybridMultilevel"/>
    <w:tmpl w:val="132CEA1E"/>
    <w:lvl w:ilvl="0" w:tplc="11B21FC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7584479"/>
    <w:multiLevelType w:val="hybridMultilevel"/>
    <w:tmpl w:val="2F1A83C0"/>
    <w:lvl w:ilvl="0" w:tplc="5CC0C1AA">
      <w:numFmt w:val="bullet"/>
      <w:lvlText w:val="•"/>
      <w:lvlJc w:val="left"/>
      <w:pPr>
        <w:ind w:left="218" w:hanging="360"/>
      </w:pPr>
      <w:rPr>
        <w:rFonts w:ascii="Arial" w:eastAsia="Arial" w:hAnsi="Arial" w:cs="Arial" w:hint="default"/>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0">
    <w:nsid w:val="4ED16B7E"/>
    <w:multiLevelType w:val="multilevel"/>
    <w:tmpl w:val="391A2146"/>
    <w:lvl w:ilvl="0">
      <w:start w:val="1"/>
      <w:numFmt w:val="bullet"/>
      <w:pStyle w:val="txtratto1"/>
      <w:lvlText w:val="−"/>
      <w:lvlJc w:val="left"/>
      <w:pPr>
        <w:tabs>
          <w:tab w:val="num" w:pos="0"/>
        </w:tabs>
        <w:ind w:left="720" w:hanging="360"/>
      </w:pPr>
      <w:rPr>
        <w:rFonts w:ascii="Garamond" w:hAnsi="Garamond" w:cs="Garamond"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060983"/>
    <w:multiLevelType w:val="multilevel"/>
    <w:tmpl w:val="2A1007C2"/>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5DF9653D"/>
    <w:multiLevelType w:val="multilevel"/>
    <w:tmpl w:val="419EBAC8"/>
    <w:lvl w:ilvl="0">
      <w:start w:val="1"/>
      <w:numFmt w:val="bullet"/>
      <w:pStyle w:val="Puntoelenco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07277C"/>
    <w:multiLevelType w:val="hybridMultilevel"/>
    <w:tmpl w:val="19A4ECA2"/>
    <w:lvl w:ilvl="0" w:tplc="5CC0C1AA">
      <w:numFmt w:val="bullet"/>
      <w:lvlText w:val="•"/>
      <w:lvlJc w:val="left"/>
      <w:pPr>
        <w:ind w:left="218"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
  </w:num>
  <w:num w:numId="4">
    <w:abstractNumId w:val="6"/>
  </w:num>
  <w:num w:numId="5">
    <w:abstractNumId w:val="10"/>
  </w:num>
  <w:num w:numId="6">
    <w:abstractNumId w:val="0"/>
  </w:num>
  <w:num w:numId="7">
    <w:abstractNumId w:val="12"/>
  </w:num>
  <w:num w:numId="8">
    <w:abstractNumId w:val="2"/>
  </w:num>
  <w:num w:numId="9">
    <w:abstractNumId w:val="7"/>
  </w:num>
  <w:num w:numId="10">
    <w:abstractNumId w:val="8"/>
  </w:num>
  <w:num w:numId="11">
    <w:abstractNumId w:val="5"/>
  </w:num>
  <w:num w:numId="12">
    <w:abstractNumId w:val="9"/>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AyMzI1MTO0tDS3NDJU0lEKTi0uzszPAykwrQUAN0kQfCwAAAA="/>
  </w:docVars>
  <w:rsids>
    <w:rsidRoot w:val="00FE3440"/>
    <w:rsid w:val="00231A37"/>
    <w:rsid w:val="00235387"/>
    <w:rsid w:val="0030235C"/>
    <w:rsid w:val="00337723"/>
    <w:rsid w:val="00367B7F"/>
    <w:rsid w:val="00387975"/>
    <w:rsid w:val="0040069A"/>
    <w:rsid w:val="00452C5B"/>
    <w:rsid w:val="004C4091"/>
    <w:rsid w:val="00533B59"/>
    <w:rsid w:val="005F16DE"/>
    <w:rsid w:val="00800DEF"/>
    <w:rsid w:val="00981706"/>
    <w:rsid w:val="00A66BC3"/>
    <w:rsid w:val="00B800F0"/>
    <w:rsid w:val="00BB68CA"/>
    <w:rsid w:val="00D07D9D"/>
    <w:rsid w:val="00D51262"/>
    <w:rsid w:val="00D90A7C"/>
    <w:rsid w:val="00EB4089"/>
    <w:rsid w:val="00F40D52"/>
    <w:rsid w:val="00F61DB5"/>
    <w:rsid w:val="00FE34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3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20" w:line="264" w:lineRule="auto"/>
    </w:pPr>
    <w:rPr>
      <w:rFonts w:ascii="Arial" w:eastAsia="Times New Roman" w:hAnsi="Arial" w:cs="Times New Roman"/>
      <w:sz w:val="21"/>
      <w:lang w:val="it-IT" w:bidi="ar-SA"/>
    </w:rPr>
  </w:style>
  <w:style w:type="paragraph" w:styleId="Titolo1">
    <w:name w:val="heading 1"/>
    <w:basedOn w:val="Normale"/>
    <w:next w:val="Normale"/>
    <w:uiPriority w:val="9"/>
    <w:qFormat/>
    <w:pPr>
      <w:keepNext/>
      <w:numPr>
        <w:numId w:val="1"/>
      </w:numPr>
      <w:spacing w:before="240" w:after="60"/>
      <w:outlineLvl w:val="0"/>
    </w:pPr>
    <w:rPr>
      <w:rFonts w:cs="Arial"/>
      <w:b/>
      <w:bCs/>
      <w:kern w:val="2"/>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cs="Arial"/>
      <w:b/>
      <w:bCs/>
      <w:i/>
      <w:iCs/>
      <w:sz w:val="28"/>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cs="Arial"/>
      <w:b/>
      <w:bCs/>
      <w:sz w:val="26"/>
      <w:szCs w:val="26"/>
    </w:rPr>
  </w:style>
  <w:style w:type="paragraph" w:styleId="Titolo4">
    <w:name w:val="heading 4"/>
    <w:basedOn w:val="Normale"/>
    <w:next w:val="Normale"/>
    <w:uiPriority w:val="9"/>
    <w:semiHidden/>
    <w:unhideWhenUsed/>
    <w:qFormat/>
    <w:pPr>
      <w:keepNext/>
      <w:numPr>
        <w:ilvl w:val="3"/>
        <w:numId w:val="1"/>
      </w:numPr>
      <w:spacing w:before="240" w:after="60"/>
      <w:outlineLvl w:val="3"/>
    </w:pPr>
    <w:rPr>
      <w:b/>
      <w:bCs/>
      <w:sz w:val="28"/>
      <w:szCs w:val="28"/>
    </w:rPr>
  </w:style>
  <w:style w:type="paragraph" w:styleId="Titolo5">
    <w:name w:val="heading 5"/>
    <w:basedOn w:val="Normale"/>
    <w:next w:val="Normale"/>
    <w:uiPriority w:val="9"/>
    <w:semiHidden/>
    <w:unhideWhenUsed/>
    <w:qFormat/>
    <w:pPr>
      <w:numPr>
        <w:ilvl w:val="4"/>
        <w:numId w:val="1"/>
      </w:num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OpenSymbol;MS Gothic" w:hAnsi="OpenSymbol;MS Gothic" w:cs="OpenSymbol;MS Gothic"/>
      <w:b/>
      <w:i w:val="0"/>
      <w:color w:val="000080"/>
      <w:sz w:val="20"/>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Wingdings" w:hAnsi="Wingdings" w:cs="Wingdings"/>
      <w:b/>
      <w:color w:val="00000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Garamond" w:hAnsi="Garamond" w:cs="Garamond"/>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b/>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Roboto" w:hAnsi="Roboto" w:cs="Roboto"/>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Wingdings" w:hAnsi="Wingdings" w:cs="Wingdings"/>
      <w:b/>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Wingdings" w:hAnsi="Wingdings" w:cs="Wingdings"/>
      <w:b/>
      <w:color w:val="00000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OpenSymbol;MS Gothic" w:hAnsi="OpenSymbol;MS Gothic" w:cs="OpenSymbol;MS Gothic"/>
      <w:b/>
      <w:i w:val="0"/>
      <w:color w:val="000080"/>
    </w:rPr>
  </w:style>
  <w:style w:type="character" w:customStyle="1" w:styleId="WW8Num33z1">
    <w:name w:val="WW8Num33z1"/>
    <w:qFormat/>
    <w:rPr>
      <w:rFonts w:ascii="Times New Roman" w:hAnsi="Times New Roman" w:cs="Times New Roman"/>
      <w:b/>
      <w:i w:val="0"/>
      <w:color w:val="000080"/>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3z4">
    <w:name w:val="WW8Num33z4"/>
    <w:qFormat/>
    <w:rPr>
      <w:rFonts w:ascii="Courier New" w:hAnsi="Courier New" w:cs="Courier New"/>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styleId="Collegamentoipertestuale">
    <w:name w:val="Hyperlink"/>
    <w:rPr>
      <w:rFonts w:cs="Times New Roman"/>
      <w:color w:val="0000FF"/>
      <w:u w:val="single"/>
    </w:rPr>
  </w:style>
  <w:style w:type="character" w:styleId="Numeropagina">
    <w:name w:val="page number"/>
    <w:rPr>
      <w:rFonts w:ascii="Helvetica" w:hAnsi="Helvetica" w:cs="Times New Roman"/>
      <w:color w:val="C0C0C0"/>
      <w:sz w:val="18"/>
    </w:rPr>
  </w:style>
  <w:style w:type="character" w:customStyle="1" w:styleId="CorpotestoCarattere">
    <w:name w:val="Corpo testo Carattere"/>
    <w:qFormat/>
    <w:rPr>
      <w:rFonts w:ascii="Helvetica" w:hAnsi="Helvetica" w:cs="Helvetica"/>
      <w:szCs w:val="24"/>
      <w:lang w:val="it-IT" w:bidi="ar-SA"/>
    </w:rPr>
  </w:style>
  <w:style w:type="character" w:customStyle="1" w:styleId="elencopuntato1Carattere">
    <w:name w:val="elenco puntato1 Carattere"/>
    <w:qFormat/>
    <w:rPr>
      <w:rFonts w:ascii="Helvetica" w:hAnsi="Helvetica" w:cs="Helvetica"/>
      <w:szCs w:val="24"/>
    </w:rPr>
  </w:style>
  <w:style w:type="character" w:customStyle="1" w:styleId="elencopuntato2Carattere">
    <w:name w:val="elenco puntato2 Carattere"/>
    <w:qFormat/>
    <w:rPr>
      <w:rFonts w:ascii="Helvetica" w:hAnsi="Helvetica" w:cs="Helvetica"/>
      <w:szCs w:val="24"/>
    </w:rPr>
  </w:style>
  <w:style w:type="character" w:customStyle="1" w:styleId="apple-converted-space">
    <w:name w:val="apple-converted-space"/>
    <w:basedOn w:val="Carpredefinitoparagrafo"/>
    <w:qFormat/>
  </w:style>
  <w:style w:type="character" w:styleId="Enfasicorsivo">
    <w:name w:val="Emphasis"/>
    <w:qFormat/>
    <w:rPr>
      <w:i/>
      <w:iCs/>
    </w:rPr>
  </w:style>
  <w:style w:type="character" w:styleId="Enfasigrassetto">
    <w:name w:val="Strong"/>
    <w:qFormat/>
    <w:rPr>
      <w:b/>
      <w:bCs/>
    </w:rPr>
  </w:style>
  <w:style w:type="character" w:customStyle="1" w:styleId="IntestazioneCarattere">
    <w:name w:val="Intestazione Carattere"/>
    <w:qFormat/>
    <w:rPr>
      <w:rFonts w:eastAsia="MS Mincho"/>
      <w:sz w:val="24"/>
      <w:szCs w:val="24"/>
      <w:lang w:val="it-IT" w:eastAsia="ja-JP" w:bidi="ar-SA"/>
    </w:rPr>
  </w:style>
  <w:style w:type="character" w:customStyle="1" w:styleId="EndnoteCharacters">
    <w:name w:val="Endnote Characters"/>
    <w:qFormat/>
    <w:rPr>
      <w:rFonts w:cs="Times New Roman"/>
      <w:vertAlign w:val="superscript"/>
    </w:rPr>
  </w:style>
  <w:style w:type="character" w:customStyle="1" w:styleId="Corpodeltesto2Carattere">
    <w:name w:val="Corpo del testo 2 Carattere"/>
    <w:qFormat/>
    <w:rPr>
      <w:lang w:val="it-IT" w:bidi="ar-SA"/>
    </w:rPr>
  </w:style>
  <w:style w:type="character" w:customStyle="1" w:styleId="Corpodeltesto3Carattere">
    <w:name w:val="Corpo del testo 3 Carattere"/>
    <w:qFormat/>
    <w:rPr>
      <w:sz w:val="16"/>
      <w:szCs w:val="16"/>
    </w:rPr>
  </w:style>
  <w:style w:type="character" w:styleId="AcronimoHTML">
    <w:name w:val="HTML Acronym"/>
    <w:qFormat/>
    <w:rPr>
      <w:rFonts w:cs="Times New Roman"/>
    </w:rPr>
  </w:style>
  <w:style w:type="character" w:customStyle="1" w:styleId="Titolo5Carattere">
    <w:name w:val="Titolo 5 Carattere"/>
    <w:qFormat/>
    <w:rPr>
      <w:rFonts w:ascii="Calibri" w:eastAsia="Times New Roman" w:hAnsi="Calibri" w:cs="Times New Roman"/>
      <w:b/>
      <w:bCs/>
      <w:i/>
      <w:iCs/>
      <w:sz w:val="26"/>
      <w:szCs w:val="26"/>
    </w:rPr>
  </w:style>
  <w:style w:type="character" w:customStyle="1" w:styleId="TestonotaapidipaginaCarattere">
    <w:name w:val="Testo nota a piè di pagina Carattere"/>
    <w:basedOn w:val="Carpredefinitoparagrafo"/>
    <w:qFormat/>
  </w:style>
  <w:style w:type="character" w:customStyle="1" w:styleId="FootnoteCharacters">
    <w:name w:val="Footnote Characters"/>
    <w:qFormat/>
    <w:rPr>
      <w:vertAlign w:val="superscript"/>
    </w:rPr>
  </w:style>
  <w:style w:type="character" w:customStyle="1" w:styleId="TestonotaapidipaginaCarattere1">
    <w:name w:val="Testo nota a piè di pagina Carattere1"/>
    <w:qFormat/>
  </w:style>
  <w:style w:type="character" w:customStyle="1" w:styleId="Rientrocorpodeltesto3Carattere">
    <w:name w:val="Rientro corpo del testo 3 Carattere"/>
    <w:qFormat/>
    <w:rPr>
      <w:sz w:val="16"/>
      <w:szCs w:val="16"/>
    </w:rPr>
  </w:style>
  <w:style w:type="character" w:customStyle="1" w:styleId="Titolo6Carattere">
    <w:name w:val="Titolo 6 Carattere"/>
    <w:qFormat/>
    <w:rPr>
      <w:b/>
      <w:bCs/>
      <w:sz w:val="22"/>
      <w:szCs w:val="22"/>
    </w:rPr>
  </w:style>
  <w:style w:type="character" w:customStyle="1" w:styleId="testo-note-sep">
    <w:name w:val="testo-note-sep"/>
    <w:qFormat/>
  </w:style>
  <w:style w:type="character" w:customStyle="1" w:styleId="linkarticolo">
    <w:name w:val="linkarticolo"/>
    <w:qFormat/>
  </w:style>
  <w:style w:type="character" w:customStyle="1" w:styleId="CitazioneintensaCarattere">
    <w:name w:val="Citazione intensa Carattere"/>
    <w:qFormat/>
    <w:rPr>
      <w:b/>
      <w:bCs/>
      <w:i/>
      <w:iCs/>
      <w:color w:val="4F81BD"/>
      <w:sz w:val="24"/>
      <w:szCs w:val="24"/>
      <w:lang w:val="en-US"/>
    </w:rPr>
  </w:style>
  <w:style w:type="character" w:customStyle="1" w:styleId="UnresolvedMention">
    <w:name w:val="Unresolved Mention"/>
    <w:qFormat/>
    <w:rPr>
      <w:color w:val="605E5C"/>
      <w:shd w:val="clear" w:color="auto" w:fill="E1DFDD"/>
    </w:rPr>
  </w:style>
  <w:style w:type="paragraph" w:customStyle="1" w:styleId="Heading">
    <w:name w:val="Heading"/>
    <w:basedOn w:val="Normale"/>
    <w:next w:val="Corpotesto"/>
    <w:qFormat/>
    <w:pPr>
      <w:overflowPunct w:val="0"/>
      <w:autoSpaceDE w:val="0"/>
      <w:spacing w:line="360" w:lineRule="atLeast"/>
      <w:jc w:val="center"/>
      <w:textAlignment w:val="baseline"/>
    </w:pPr>
    <w:rPr>
      <w:rFonts w:cs="Arial"/>
      <w:b/>
      <w:sz w:val="23"/>
      <w:szCs w:val="20"/>
    </w:rPr>
  </w:style>
  <w:style w:type="paragraph" w:styleId="Corpotesto">
    <w:name w:val="Body Text"/>
    <w:basedOn w:val="Normale"/>
    <w:pPr>
      <w:spacing w:line="360" w:lineRule="auto"/>
      <w:jc w:val="both"/>
    </w:pPr>
    <w:rPr>
      <w:rFonts w:ascii="Helvetica" w:hAnsi="Helvetica" w:cs="Helvetica"/>
      <w:sz w:val="20"/>
    </w:rPr>
  </w:style>
  <w:style w:type="paragraph" w:styleId="Elenco">
    <w:name w:val="List"/>
    <w:basedOn w:val="Corpotesto"/>
  </w:style>
  <w:style w:type="paragraph" w:styleId="Didascalia">
    <w:name w:val="caption"/>
    <w:basedOn w:val="Normale"/>
    <w:qFormat/>
    <w:pPr>
      <w:suppressLineNumbers/>
      <w:spacing w:before="120"/>
    </w:pPr>
    <w:rPr>
      <w:i/>
      <w:iCs/>
      <w:sz w:val="24"/>
    </w:rPr>
  </w:style>
  <w:style w:type="paragraph" w:customStyle="1" w:styleId="Index">
    <w:name w:val="Index"/>
    <w:basedOn w:val="Normale"/>
    <w:qFormat/>
    <w:pPr>
      <w:suppressLineNumbers/>
    </w:pPr>
  </w:style>
  <w:style w:type="paragraph" w:customStyle="1" w:styleId="chiusura">
    <w:name w:val="chiusura"/>
    <w:basedOn w:val="Titolo4"/>
    <w:qFormat/>
    <w:pPr>
      <w:numPr>
        <w:ilvl w:val="0"/>
        <w:numId w:val="0"/>
      </w:numPr>
      <w:spacing w:before="0" w:after="0"/>
      <w:outlineLvl w:val="9"/>
    </w:pPr>
    <w:rPr>
      <w:rFonts w:ascii="Helvetica" w:hAnsi="Helvetica" w:cs="Helvetica"/>
      <w:i/>
      <w:iCs/>
      <w:sz w:val="16"/>
      <w:szCs w:val="24"/>
    </w:rPr>
  </w:style>
  <w:style w:type="paragraph" w:customStyle="1" w:styleId="datapubblicazione">
    <w:name w:val="data pubblicazione"/>
    <w:basedOn w:val="Normale"/>
    <w:qFormat/>
    <w:pPr>
      <w:ind w:left="4111"/>
    </w:pPr>
    <w:rPr>
      <w:rFonts w:ascii="Helvetica" w:hAnsi="Helvetica" w:cs="Helvetica"/>
      <w:color w:val="000000"/>
      <w:w w:val="95"/>
    </w:rPr>
  </w:style>
  <w:style w:type="paragraph" w:customStyle="1" w:styleId="Dirittiriservati">
    <w:name w:val="Diritti riservati"/>
    <w:basedOn w:val="Normale"/>
    <w:qFormat/>
    <w:pPr>
      <w:jc w:val="both"/>
    </w:pPr>
    <w:rPr>
      <w:rFonts w:ascii="Helvetica" w:hAnsi="Helvetica" w:cs="Helvetica"/>
      <w:color w:val="808080"/>
      <w:sz w:val="16"/>
    </w:rPr>
  </w:style>
  <w:style w:type="paragraph" w:customStyle="1" w:styleId="disclaimer">
    <w:name w:val="disclaimer"/>
    <w:basedOn w:val="Corpotesto"/>
    <w:qFormat/>
    <w:pPr>
      <w:spacing w:after="0" w:line="240" w:lineRule="auto"/>
    </w:pPr>
    <w:rPr>
      <w:sz w:val="16"/>
    </w:rPr>
  </w:style>
  <w:style w:type="paragraph" w:customStyle="1" w:styleId="elencopuntato1">
    <w:name w:val="elenco puntato1"/>
    <w:basedOn w:val="Corpotesto"/>
    <w:qFormat/>
    <w:pPr>
      <w:numPr>
        <w:numId w:val="9"/>
      </w:numPr>
    </w:pPr>
  </w:style>
  <w:style w:type="paragraph" w:customStyle="1" w:styleId="elencopuntato2">
    <w:name w:val="elenco puntato2"/>
    <w:basedOn w:val="Corpotesto"/>
    <w:qFormat/>
    <w:pPr>
      <w:numPr>
        <w:numId w:val="2"/>
      </w:numPr>
    </w:pPr>
  </w:style>
  <w:style w:type="paragraph" w:styleId="Indice1">
    <w:name w:val="index 1"/>
    <w:basedOn w:val="Normale"/>
    <w:next w:val="Normale"/>
    <w:pPr>
      <w:spacing w:line="312" w:lineRule="auto"/>
      <w:ind w:left="4111"/>
    </w:pPr>
    <w:rPr>
      <w:rFonts w:ascii="Helvetica" w:hAnsi="Helvetica" w:cs="Helvetica"/>
      <w:color w:val="808080"/>
      <w:sz w:val="28"/>
      <w:lang w:val="en-US" w:eastAsia="en-US"/>
    </w:rPr>
  </w:style>
  <w:style w:type="paragraph" w:customStyle="1" w:styleId="indirizzowww">
    <w:name w:val="indirizzo www"/>
    <w:basedOn w:val="datapubblicazione"/>
    <w:qFormat/>
    <w:rPr>
      <w:color w:val="C0C0C0"/>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customStyle="1" w:styleId="redattore">
    <w:name w:val="redattore"/>
    <w:basedOn w:val="Normale"/>
    <w:qFormat/>
    <w:pPr>
      <w:jc w:val="center"/>
    </w:pPr>
    <w:rPr>
      <w:rFonts w:ascii="Helvetica" w:hAnsi="Helvetica" w:cs="Helvetica"/>
      <w:i/>
      <w:sz w:val="20"/>
    </w:rPr>
  </w:style>
  <w:style w:type="paragraph" w:customStyle="1" w:styleId="marginiredattore">
    <w:name w:val="marginiredattore"/>
    <w:basedOn w:val="redattore"/>
    <w:qFormat/>
    <w:rPr>
      <w:color w:val="333399"/>
      <w:sz w:val="24"/>
    </w:rPr>
  </w:style>
  <w:style w:type="paragraph" w:styleId="Pidipagina">
    <w:name w:val="footer"/>
    <w:basedOn w:val="Normale"/>
    <w:pPr>
      <w:tabs>
        <w:tab w:val="center" w:pos="4819"/>
        <w:tab w:val="right" w:pos="9638"/>
      </w:tabs>
      <w:ind w:left="4139"/>
    </w:pPr>
    <w:rPr>
      <w:rFonts w:ascii="Helvetica" w:hAnsi="Helvetica" w:cs="Helvetica"/>
      <w:color w:val="C0C0C0"/>
      <w:sz w:val="16"/>
    </w:rPr>
  </w:style>
  <w:style w:type="paragraph" w:customStyle="1" w:styleId="Pidipaginasezionecontenuti">
    <w:name w:val="Piè di pagina sezione contenuti"/>
    <w:basedOn w:val="Pidipagina"/>
    <w:qFormat/>
    <w:pPr>
      <w:ind w:left="2268"/>
    </w:pPr>
  </w:style>
  <w:style w:type="paragraph" w:customStyle="1" w:styleId="redatto">
    <w:name w:val="redatto"/>
    <w:basedOn w:val="Normale"/>
    <w:qFormat/>
    <w:pPr>
      <w:ind w:left="4111"/>
    </w:pPr>
    <w:rPr>
      <w:rFonts w:ascii="Helvetica" w:hAnsi="Helvetica" w:cs="Helvetica"/>
      <w:color w:val="808080"/>
    </w:rPr>
  </w:style>
  <w:style w:type="paragraph" w:customStyle="1" w:styleId="titolodocumento">
    <w:name w:val="titolo documento"/>
    <w:basedOn w:val="Normale"/>
    <w:qFormat/>
    <w:pPr>
      <w:ind w:right="-30"/>
      <w:jc w:val="center"/>
    </w:pPr>
    <w:rPr>
      <w:rFonts w:ascii="Georgia" w:hAnsi="Georgia" w:cs="Georgia"/>
      <w:b/>
      <w:bCs/>
      <w:color w:val="000099"/>
      <w:sz w:val="40"/>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oloindice">
    <w:name w:val="index heading"/>
    <w:basedOn w:val="Normale"/>
    <w:next w:val="Indice1"/>
  </w:style>
  <w:style w:type="paragraph" w:customStyle="1" w:styleId="titolo10">
    <w:name w:val="titolo1"/>
    <w:basedOn w:val="Titolo1"/>
    <w:qFormat/>
    <w:pPr>
      <w:numPr>
        <w:numId w:val="0"/>
      </w:numPr>
      <w:outlineLvl w:val="9"/>
    </w:pPr>
    <w:rPr>
      <w:rFonts w:ascii="Bookman Old Style" w:hAnsi="Bookman Old Style" w:cs="Times New Roman"/>
      <w:color w:val="000099"/>
      <w:sz w:val="28"/>
      <w:szCs w:val="24"/>
    </w:rPr>
  </w:style>
  <w:style w:type="paragraph" w:customStyle="1" w:styleId="titolo20">
    <w:name w:val="titolo2"/>
    <w:basedOn w:val="Titolo2"/>
    <w:qFormat/>
    <w:pPr>
      <w:numPr>
        <w:ilvl w:val="0"/>
        <w:numId w:val="0"/>
      </w:numPr>
      <w:outlineLvl w:val="9"/>
    </w:pPr>
    <w:rPr>
      <w:rFonts w:ascii="Bookman Old Style" w:hAnsi="Bookman Old Style" w:cs="Times New Roman"/>
      <w:bCs w:val="0"/>
      <w:iCs w:val="0"/>
      <w:color w:val="000099"/>
      <w:sz w:val="22"/>
      <w:szCs w:val="24"/>
    </w:rPr>
  </w:style>
  <w:style w:type="paragraph" w:customStyle="1" w:styleId="titolo30">
    <w:name w:val="titolo3"/>
    <w:basedOn w:val="Titolo3"/>
    <w:qFormat/>
    <w:pPr>
      <w:numPr>
        <w:ilvl w:val="0"/>
        <w:numId w:val="0"/>
      </w:numPr>
      <w:outlineLvl w:val="9"/>
    </w:pPr>
    <w:rPr>
      <w:rFonts w:ascii="Bookman Old Style" w:hAnsi="Bookman Old Style" w:cs="Times New Roman"/>
      <w:b w:val="0"/>
      <w:bCs w:val="0"/>
      <w:i/>
      <w:iCs/>
      <w:color w:val="000099"/>
      <w:sz w:val="22"/>
      <w:szCs w:val="24"/>
    </w:rPr>
  </w:style>
  <w:style w:type="paragraph" w:customStyle="1" w:styleId="abstract">
    <w:name w:val="abstract"/>
    <w:basedOn w:val="Normale"/>
    <w:qFormat/>
    <w:pPr>
      <w:ind w:right="-30"/>
      <w:jc w:val="center"/>
    </w:pPr>
    <w:rPr>
      <w:rFonts w:ascii="Helvetica" w:hAnsi="Helvetica" w:cs="Helvetica"/>
      <w:b/>
      <w:bCs/>
      <w:i/>
      <w:iCs/>
      <w:sz w:val="20"/>
      <w:szCs w:val="28"/>
    </w:rPr>
  </w:style>
  <w:style w:type="paragraph" w:customStyle="1" w:styleId="hTestoTabella">
    <w:name w:val="h) Testo Tabella"/>
    <w:basedOn w:val="Normale"/>
    <w:qFormat/>
    <w:pPr>
      <w:widowControl w:val="0"/>
      <w:autoSpaceDE w:val="0"/>
      <w:spacing w:line="258" w:lineRule="atLeast"/>
      <w:jc w:val="both"/>
      <w:textAlignment w:val="center"/>
    </w:pPr>
    <w:rPr>
      <w:rFonts w:ascii="Eurostile" w:hAnsi="Eurostile" w:cs="Eurostile"/>
      <w:color w:val="000000"/>
      <w:sz w:val="20"/>
      <w:szCs w:val="20"/>
    </w:rPr>
  </w:style>
  <w:style w:type="paragraph" w:styleId="Testonormale">
    <w:name w:val="Plain Text"/>
    <w:basedOn w:val="Normale"/>
    <w:qFormat/>
    <w:rPr>
      <w:rFonts w:ascii="Courier New" w:hAnsi="Courier New" w:cs="Courier New"/>
      <w:sz w:val="20"/>
      <w:szCs w:val="20"/>
    </w:rPr>
  </w:style>
  <w:style w:type="paragraph" w:styleId="NormaleWeb">
    <w:name w:val="Normal (Web)"/>
    <w:basedOn w:val="Normale"/>
    <w:qFormat/>
    <w:pPr>
      <w:spacing w:before="280" w:after="280"/>
    </w:pPr>
  </w:style>
  <w:style w:type="paragraph" w:styleId="Data">
    <w:name w:val="Date"/>
    <w:basedOn w:val="Normale"/>
    <w:next w:val="Normale"/>
    <w:qFormat/>
  </w:style>
  <w:style w:type="paragraph" w:styleId="Mappadocumento">
    <w:name w:val="Document Map"/>
    <w:basedOn w:val="Normale"/>
    <w:qFormat/>
    <w:pPr>
      <w:shd w:val="clear" w:color="auto" w:fill="000080"/>
    </w:pPr>
    <w:rPr>
      <w:rFonts w:ascii="Tahoma" w:hAnsi="Tahoma" w:cs="Tahoma"/>
      <w:sz w:val="20"/>
      <w:szCs w:val="20"/>
    </w:rPr>
  </w:style>
  <w:style w:type="paragraph" w:styleId="Testofumetto">
    <w:name w:val="Balloon Text"/>
    <w:basedOn w:val="Normale"/>
    <w:qFormat/>
    <w:rPr>
      <w:rFonts w:ascii="Tahoma" w:hAnsi="Tahoma" w:cs="Tahoma"/>
      <w:sz w:val="16"/>
      <w:szCs w:val="16"/>
    </w:rPr>
  </w:style>
  <w:style w:type="paragraph" w:styleId="Corpodeltesto2">
    <w:name w:val="Body Text 2"/>
    <w:basedOn w:val="Normale"/>
    <w:qFormat/>
    <w:pPr>
      <w:spacing w:line="480" w:lineRule="auto"/>
    </w:pPr>
    <w:rPr>
      <w:sz w:val="20"/>
      <w:szCs w:val="20"/>
    </w:rPr>
  </w:style>
  <w:style w:type="paragraph" w:styleId="Corpodeltesto3">
    <w:name w:val="Body Text 3"/>
    <w:basedOn w:val="Normale"/>
    <w:qFormat/>
    <w:rPr>
      <w:sz w:val="16"/>
      <w:szCs w:val="16"/>
    </w:rPr>
  </w:style>
  <w:style w:type="paragraph" w:customStyle="1" w:styleId="Default">
    <w:name w:val="Default"/>
    <w:qFormat/>
    <w:pPr>
      <w:widowControl w:val="0"/>
      <w:autoSpaceDE w:val="0"/>
    </w:pPr>
    <w:rPr>
      <w:rFonts w:ascii="Times New Roman" w:eastAsia="Times New Roman" w:hAnsi="Times New Roman" w:cs="Times New Roman"/>
      <w:color w:val="000000"/>
      <w:lang w:val="it-IT" w:bidi="ar-SA"/>
    </w:rPr>
  </w:style>
  <w:style w:type="paragraph" w:styleId="Rientrocorpodeltesto2">
    <w:name w:val="Body Text Indent 2"/>
    <w:basedOn w:val="Normale"/>
    <w:qFormat/>
    <w:pPr>
      <w:spacing w:line="480" w:lineRule="auto"/>
      <w:ind w:left="283"/>
    </w:pPr>
  </w:style>
  <w:style w:type="paragraph" w:styleId="Rientrocorpodeltesto3">
    <w:name w:val="Body Text Indent 3"/>
    <w:basedOn w:val="Normale"/>
    <w:qFormat/>
    <w:pPr>
      <w:ind w:left="283"/>
    </w:pPr>
    <w:rPr>
      <w:sz w:val="16"/>
      <w:szCs w:val="16"/>
    </w:rPr>
  </w:style>
  <w:style w:type="paragraph" w:styleId="Paragrafoelenco">
    <w:name w:val="List Paragraph"/>
    <w:basedOn w:val="Normale"/>
    <w:qFormat/>
    <w:pPr>
      <w:spacing w:after="160" w:line="257" w:lineRule="auto"/>
      <w:ind w:left="720"/>
      <w:contextualSpacing/>
    </w:pPr>
    <w:rPr>
      <w:rFonts w:ascii="Calibri" w:eastAsia="Calibri" w:hAnsi="Calibri" w:cs="Calibri"/>
      <w:sz w:val="22"/>
      <w:szCs w:val="22"/>
    </w:rPr>
  </w:style>
  <w:style w:type="paragraph" w:styleId="Testonotaapidipagina">
    <w:name w:val="footnote text"/>
    <w:basedOn w:val="Normale"/>
    <w:rPr>
      <w:sz w:val="20"/>
      <w:szCs w:val="20"/>
    </w:rPr>
  </w:style>
  <w:style w:type="paragraph" w:customStyle="1" w:styleId="corpodeltesto32">
    <w:name w:val="corpodeltesto32"/>
    <w:basedOn w:val="Normale"/>
    <w:qFormat/>
    <w:pPr>
      <w:spacing w:before="280" w:after="280"/>
    </w:pPr>
  </w:style>
  <w:style w:type="paragraph" w:customStyle="1" w:styleId="Corpodeltesto31">
    <w:name w:val="Corpo del testo 31"/>
    <w:basedOn w:val="Normale"/>
    <w:qFormat/>
    <w:pPr>
      <w:widowControl w:val="0"/>
      <w:spacing w:line="480" w:lineRule="atLeast"/>
      <w:jc w:val="center"/>
    </w:pPr>
  </w:style>
  <w:style w:type="paragraph" w:customStyle="1" w:styleId="Puntoelenco1">
    <w:name w:val="Punto elenco1"/>
    <w:basedOn w:val="Normale"/>
    <w:qFormat/>
    <w:pPr>
      <w:numPr>
        <w:numId w:val="7"/>
      </w:numPr>
    </w:pPr>
  </w:style>
  <w:style w:type="paragraph" w:customStyle="1" w:styleId="txtratto1">
    <w:name w:val="tx_tratto1"/>
    <w:basedOn w:val="Normale"/>
    <w:qFormat/>
    <w:pPr>
      <w:numPr>
        <w:numId w:val="5"/>
      </w:numPr>
      <w:tabs>
        <w:tab w:val="left" w:pos="397"/>
        <w:tab w:val="left" w:pos="944"/>
      </w:tabs>
      <w:ind w:left="924" w:hanging="340"/>
      <w:jc w:val="both"/>
    </w:pPr>
    <w:rPr>
      <w:rFonts w:ascii="Asap;Arial Narrow" w:hAnsi="Asap;Arial Narrow"/>
      <w:sz w:val="22"/>
      <w:szCs w:val="22"/>
    </w:rPr>
  </w:style>
  <w:style w:type="paragraph" w:styleId="Citazioneintensa">
    <w:name w:val="Intense Quote"/>
    <w:basedOn w:val="Normale"/>
    <w:next w:val="Normale"/>
    <w:qFormat/>
    <w:pPr>
      <w:pBdr>
        <w:bottom w:val="single" w:sz="4" w:space="4" w:color="4F81BD"/>
      </w:pBdr>
      <w:spacing w:before="200" w:after="280"/>
      <w:ind w:left="936" w:right="936"/>
    </w:pPr>
    <w:rPr>
      <w:b/>
      <w:bCs/>
      <w:i/>
      <w:iCs/>
      <w:color w:val="4F81BD"/>
      <w:lang w:val="en-US"/>
    </w:rPr>
  </w:style>
  <w:style w:type="paragraph" w:styleId="Nessunaspaziatura">
    <w:name w:val="No Spacing"/>
    <w:qFormat/>
    <w:rPr>
      <w:rFonts w:ascii="Times New Roman" w:eastAsia="Times New Roman" w:hAnsi="Times New Roman" w:cs="Times New Roman"/>
      <w:lang w:val="it-IT" w:bidi="ar-SA"/>
    </w:rPr>
  </w:style>
  <w:style w:type="paragraph" w:customStyle="1" w:styleId="Testo">
    <w:name w:val="Testo"/>
    <w:basedOn w:val="Normale"/>
    <w:qFormat/>
    <w:pPr>
      <w:tabs>
        <w:tab w:val="center" w:pos="2552"/>
      </w:tabs>
    </w:pPr>
    <w:rPr>
      <w:szCs w:val="20"/>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e"/>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table" w:styleId="Grigliatabella">
    <w:name w:val="Table Grid"/>
    <w:basedOn w:val="Tabellanormale"/>
    <w:uiPriority w:val="39"/>
    <w:rsid w:val="00A66BC3"/>
    <w:pPr>
      <w:suppressAutoHyphens w:val="0"/>
    </w:pPr>
    <w:rPr>
      <w:rFonts w:ascii="Times New Roman" w:eastAsia="Times New Roman" w:hAnsi="Times New Roman" w:cs="Times New Roman"/>
      <w:sz w:val="20"/>
      <w:szCs w:val="20"/>
      <w:lang w:val="it-IT"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toelenco2">
    <w:name w:val="Punto elenco2"/>
    <w:rsid w:val="00A66BC3"/>
    <w:pPr>
      <w:suppressAutoHyphens w:val="0"/>
    </w:pPr>
    <w:rPr>
      <w:rFonts w:ascii="Arial" w:eastAsia="Times New Roman" w:hAnsi="Arial" w:cs="Times New Roman"/>
      <w:sz w:val="20"/>
      <w:szCs w:val="20"/>
      <w:lang w:val="it-IT" w:eastAsia="it-IT"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20" w:line="264" w:lineRule="auto"/>
    </w:pPr>
    <w:rPr>
      <w:rFonts w:ascii="Arial" w:eastAsia="Times New Roman" w:hAnsi="Arial" w:cs="Times New Roman"/>
      <w:sz w:val="21"/>
      <w:lang w:val="it-IT" w:bidi="ar-SA"/>
    </w:rPr>
  </w:style>
  <w:style w:type="paragraph" w:styleId="Titolo1">
    <w:name w:val="heading 1"/>
    <w:basedOn w:val="Normale"/>
    <w:next w:val="Normale"/>
    <w:uiPriority w:val="9"/>
    <w:qFormat/>
    <w:pPr>
      <w:keepNext/>
      <w:numPr>
        <w:numId w:val="1"/>
      </w:numPr>
      <w:spacing w:before="240" w:after="60"/>
      <w:outlineLvl w:val="0"/>
    </w:pPr>
    <w:rPr>
      <w:rFonts w:cs="Arial"/>
      <w:b/>
      <w:bCs/>
      <w:kern w:val="2"/>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cs="Arial"/>
      <w:b/>
      <w:bCs/>
      <w:i/>
      <w:iCs/>
      <w:sz w:val="28"/>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cs="Arial"/>
      <w:b/>
      <w:bCs/>
      <w:sz w:val="26"/>
      <w:szCs w:val="26"/>
    </w:rPr>
  </w:style>
  <w:style w:type="paragraph" w:styleId="Titolo4">
    <w:name w:val="heading 4"/>
    <w:basedOn w:val="Normale"/>
    <w:next w:val="Normale"/>
    <w:uiPriority w:val="9"/>
    <w:semiHidden/>
    <w:unhideWhenUsed/>
    <w:qFormat/>
    <w:pPr>
      <w:keepNext/>
      <w:numPr>
        <w:ilvl w:val="3"/>
        <w:numId w:val="1"/>
      </w:numPr>
      <w:spacing w:before="240" w:after="60"/>
      <w:outlineLvl w:val="3"/>
    </w:pPr>
    <w:rPr>
      <w:b/>
      <w:bCs/>
      <w:sz w:val="28"/>
      <w:szCs w:val="28"/>
    </w:rPr>
  </w:style>
  <w:style w:type="paragraph" w:styleId="Titolo5">
    <w:name w:val="heading 5"/>
    <w:basedOn w:val="Normale"/>
    <w:next w:val="Normale"/>
    <w:uiPriority w:val="9"/>
    <w:semiHidden/>
    <w:unhideWhenUsed/>
    <w:qFormat/>
    <w:pPr>
      <w:numPr>
        <w:ilvl w:val="4"/>
        <w:numId w:val="1"/>
      </w:num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OpenSymbol;MS Gothic" w:hAnsi="OpenSymbol;MS Gothic" w:cs="OpenSymbol;MS Gothic"/>
      <w:b/>
      <w:i w:val="0"/>
      <w:color w:val="000080"/>
      <w:sz w:val="20"/>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Wingdings" w:hAnsi="Wingdings" w:cs="Wingdings"/>
      <w:b/>
      <w:color w:val="00000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Garamond" w:hAnsi="Garamond" w:cs="Garamond"/>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b/>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Roboto" w:hAnsi="Roboto" w:cs="Roboto"/>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Wingdings" w:hAnsi="Wingdings" w:cs="Wingdings"/>
      <w:b/>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Wingdings" w:hAnsi="Wingdings" w:cs="Wingdings"/>
      <w:b/>
      <w:color w:val="00000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OpenSymbol;MS Gothic" w:hAnsi="OpenSymbol;MS Gothic" w:cs="OpenSymbol;MS Gothic"/>
      <w:b/>
      <w:i w:val="0"/>
      <w:color w:val="000080"/>
    </w:rPr>
  </w:style>
  <w:style w:type="character" w:customStyle="1" w:styleId="WW8Num33z1">
    <w:name w:val="WW8Num33z1"/>
    <w:qFormat/>
    <w:rPr>
      <w:rFonts w:ascii="Times New Roman" w:hAnsi="Times New Roman" w:cs="Times New Roman"/>
      <w:b/>
      <w:i w:val="0"/>
      <w:color w:val="000080"/>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3z4">
    <w:name w:val="WW8Num33z4"/>
    <w:qFormat/>
    <w:rPr>
      <w:rFonts w:ascii="Courier New" w:hAnsi="Courier New" w:cs="Courier New"/>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styleId="Collegamentoipertestuale">
    <w:name w:val="Hyperlink"/>
    <w:rPr>
      <w:rFonts w:cs="Times New Roman"/>
      <w:color w:val="0000FF"/>
      <w:u w:val="single"/>
    </w:rPr>
  </w:style>
  <w:style w:type="character" w:styleId="Numeropagina">
    <w:name w:val="page number"/>
    <w:rPr>
      <w:rFonts w:ascii="Helvetica" w:hAnsi="Helvetica" w:cs="Times New Roman"/>
      <w:color w:val="C0C0C0"/>
      <w:sz w:val="18"/>
    </w:rPr>
  </w:style>
  <w:style w:type="character" w:customStyle="1" w:styleId="CorpotestoCarattere">
    <w:name w:val="Corpo testo Carattere"/>
    <w:qFormat/>
    <w:rPr>
      <w:rFonts w:ascii="Helvetica" w:hAnsi="Helvetica" w:cs="Helvetica"/>
      <w:szCs w:val="24"/>
      <w:lang w:val="it-IT" w:bidi="ar-SA"/>
    </w:rPr>
  </w:style>
  <w:style w:type="character" w:customStyle="1" w:styleId="elencopuntato1Carattere">
    <w:name w:val="elenco puntato1 Carattere"/>
    <w:qFormat/>
    <w:rPr>
      <w:rFonts w:ascii="Helvetica" w:hAnsi="Helvetica" w:cs="Helvetica"/>
      <w:szCs w:val="24"/>
    </w:rPr>
  </w:style>
  <w:style w:type="character" w:customStyle="1" w:styleId="elencopuntato2Carattere">
    <w:name w:val="elenco puntato2 Carattere"/>
    <w:qFormat/>
    <w:rPr>
      <w:rFonts w:ascii="Helvetica" w:hAnsi="Helvetica" w:cs="Helvetica"/>
      <w:szCs w:val="24"/>
    </w:rPr>
  </w:style>
  <w:style w:type="character" w:customStyle="1" w:styleId="apple-converted-space">
    <w:name w:val="apple-converted-space"/>
    <w:basedOn w:val="Carpredefinitoparagrafo"/>
    <w:qFormat/>
  </w:style>
  <w:style w:type="character" w:styleId="Enfasicorsivo">
    <w:name w:val="Emphasis"/>
    <w:qFormat/>
    <w:rPr>
      <w:i/>
      <w:iCs/>
    </w:rPr>
  </w:style>
  <w:style w:type="character" w:styleId="Enfasigrassetto">
    <w:name w:val="Strong"/>
    <w:qFormat/>
    <w:rPr>
      <w:b/>
      <w:bCs/>
    </w:rPr>
  </w:style>
  <w:style w:type="character" w:customStyle="1" w:styleId="IntestazioneCarattere">
    <w:name w:val="Intestazione Carattere"/>
    <w:qFormat/>
    <w:rPr>
      <w:rFonts w:eastAsia="MS Mincho"/>
      <w:sz w:val="24"/>
      <w:szCs w:val="24"/>
      <w:lang w:val="it-IT" w:eastAsia="ja-JP" w:bidi="ar-SA"/>
    </w:rPr>
  </w:style>
  <w:style w:type="character" w:customStyle="1" w:styleId="EndnoteCharacters">
    <w:name w:val="Endnote Characters"/>
    <w:qFormat/>
    <w:rPr>
      <w:rFonts w:cs="Times New Roman"/>
      <w:vertAlign w:val="superscript"/>
    </w:rPr>
  </w:style>
  <w:style w:type="character" w:customStyle="1" w:styleId="Corpodeltesto2Carattere">
    <w:name w:val="Corpo del testo 2 Carattere"/>
    <w:qFormat/>
    <w:rPr>
      <w:lang w:val="it-IT" w:bidi="ar-SA"/>
    </w:rPr>
  </w:style>
  <w:style w:type="character" w:customStyle="1" w:styleId="Corpodeltesto3Carattere">
    <w:name w:val="Corpo del testo 3 Carattere"/>
    <w:qFormat/>
    <w:rPr>
      <w:sz w:val="16"/>
      <w:szCs w:val="16"/>
    </w:rPr>
  </w:style>
  <w:style w:type="character" w:styleId="AcronimoHTML">
    <w:name w:val="HTML Acronym"/>
    <w:qFormat/>
    <w:rPr>
      <w:rFonts w:cs="Times New Roman"/>
    </w:rPr>
  </w:style>
  <w:style w:type="character" w:customStyle="1" w:styleId="Titolo5Carattere">
    <w:name w:val="Titolo 5 Carattere"/>
    <w:qFormat/>
    <w:rPr>
      <w:rFonts w:ascii="Calibri" w:eastAsia="Times New Roman" w:hAnsi="Calibri" w:cs="Times New Roman"/>
      <w:b/>
      <w:bCs/>
      <w:i/>
      <w:iCs/>
      <w:sz w:val="26"/>
      <w:szCs w:val="26"/>
    </w:rPr>
  </w:style>
  <w:style w:type="character" w:customStyle="1" w:styleId="TestonotaapidipaginaCarattere">
    <w:name w:val="Testo nota a piè di pagina Carattere"/>
    <w:basedOn w:val="Carpredefinitoparagrafo"/>
    <w:qFormat/>
  </w:style>
  <w:style w:type="character" w:customStyle="1" w:styleId="FootnoteCharacters">
    <w:name w:val="Footnote Characters"/>
    <w:qFormat/>
    <w:rPr>
      <w:vertAlign w:val="superscript"/>
    </w:rPr>
  </w:style>
  <w:style w:type="character" w:customStyle="1" w:styleId="TestonotaapidipaginaCarattere1">
    <w:name w:val="Testo nota a piè di pagina Carattere1"/>
    <w:qFormat/>
  </w:style>
  <w:style w:type="character" w:customStyle="1" w:styleId="Rientrocorpodeltesto3Carattere">
    <w:name w:val="Rientro corpo del testo 3 Carattere"/>
    <w:qFormat/>
    <w:rPr>
      <w:sz w:val="16"/>
      <w:szCs w:val="16"/>
    </w:rPr>
  </w:style>
  <w:style w:type="character" w:customStyle="1" w:styleId="Titolo6Carattere">
    <w:name w:val="Titolo 6 Carattere"/>
    <w:qFormat/>
    <w:rPr>
      <w:b/>
      <w:bCs/>
      <w:sz w:val="22"/>
      <w:szCs w:val="22"/>
    </w:rPr>
  </w:style>
  <w:style w:type="character" w:customStyle="1" w:styleId="testo-note-sep">
    <w:name w:val="testo-note-sep"/>
    <w:qFormat/>
  </w:style>
  <w:style w:type="character" w:customStyle="1" w:styleId="linkarticolo">
    <w:name w:val="linkarticolo"/>
    <w:qFormat/>
  </w:style>
  <w:style w:type="character" w:customStyle="1" w:styleId="CitazioneintensaCarattere">
    <w:name w:val="Citazione intensa Carattere"/>
    <w:qFormat/>
    <w:rPr>
      <w:b/>
      <w:bCs/>
      <w:i/>
      <w:iCs/>
      <w:color w:val="4F81BD"/>
      <w:sz w:val="24"/>
      <w:szCs w:val="24"/>
      <w:lang w:val="en-US"/>
    </w:rPr>
  </w:style>
  <w:style w:type="character" w:customStyle="1" w:styleId="UnresolvedMention">
    <w:name w:val="Unresolved Mention"/>
    <w:qFormat/>
    <w:rPr>
      <w:color w:val="605E5C"/>
      <w:shd w:val="clear" w:color="auto" w:fill="E1DFDD"/>
    </w:rPr>
  </w:style>
  <w:style w:type="paragraph" w:customStyle="1" w:styleId="Heading">
    <w:name w:val="Heading"/>
    <w:basedOn w:val="Normale"/>
    <w:next w:val="Corpotesto"/>
    <w:qFormat/>
    <w:pPr>
      <w:overflowPunct w:val="0"/>
      <w:autoSpaceDE w:val="0"/>
      <w:spacing w:line="360" w:lineRule="atLeast"/>
      <w:jc w:val="center"/>
      <w:textAlignment w:val="baseline"/>
    </w:pPr>
    <w:rPr>
      <w:rFonts w:cs="Arial"/>
      <w:b/>
      <w:sz w:val="23"/>
      <w:szCs w:val="20"/>
    </w:rPr>
  </w:style>
  <w:style w:type="paragraph" w:styleId="Corpotesto">
    <w:name w:val="Body Text"/>
    <w:basedOn w:val="Normale"/>
    <w:pPr>
      <w:spacing w:line="360" w:lineRule="auto"/>
      <w:jc w:val="both"/>
    </w:pPr>
    <w:rPr>
      <w:rFonts w:ascii="Helvetica" w:hAnsi="Helvetica" w:cs="Helvetica"/>
      <w:sz w:val="20"/>
    </w:rPr>
  </w:style>
  <w:style w:type="paragraph" w:styleId="Elenco">
    <w:name w:val="List"/>
    <w:basedOn w:val="Corpotesto"/>
  </w:style>
  <w:style w:type="paragraph" w:styleId="Didascalia">
    <w:name w:val="caption"/>
    <w:basedOn w:val="Normale"/>
    <w:qFormat/>
    <w:pPr>
      <w:suppressLineNumbers/>
      <w:spacing w:before="120"/>
    </w:pPr>
    <w:rPr>
      <w:i/>
      <w:iCs/>
      <w:sz w:val="24"/>
    </w:rPr>
  </w:style>
  <w:style w:type="paragraph" w:customStyle="1" w:styleId="Index">
    <w:name w:val="Index"/>
    <w:basedOn w:val="Normale"/>
    <w:qFormat/>
    <w:pPr>
      <w:suppressLineNumbers/>
    </w:pPr>
  </w:style>
  <w:style w:type="paragraph" w:customStyle="1" w:styleId="chiusura">
    <w:name w:val="chiusura"/>
    <w:basedOn w:val="Titolo4"/>
    <w:qFormat/>
    <w:pPr>
      <w:numPr>
        <w:ilvl w:val="0"/>
        <w:numId w:val="0"/>
      </w:numPr>
      <w:spacing w:before="0" w:after="0"/>
      <w:outlineLvl w:val="9"/>
    </w:pPr>
    <w:rPr>
      <w:rFonts w:ascii="Helvetica" w:hAnsi="Helvetica" w:cs="Helvetica"/>
      <w:i/>
      <w:iCs/>
      <w:sz w:val="16"/>
      <w:szCs w:val="24"/>
    </w:rPr>
  </w:style>
  <w:style w:type="paragraph" w:customStyle="1" w:styleId="datapubblicazione">
    <w:name w:val="data pubblicazione"/>
    <w:basedOn w:val="Normale"/>
    <w:qFormat/>
    <w:pPr>
      <w:ind w:left="4111"/>
    </w:pPr>
    <w:rPr>
      <w:rFonts w:ascii="Helvetica" w:hAnsi="Helvetica" w:cs="Helvetica"/>
      <w:color w:val="000000"/>
      <w:w w:val="95"/>
    </w:rPr>
  </w:style>
  <w:style w:type="paragraph" w:customStyle="1" w:styleId="Dirittiriservati">
    <w:name w:val="Diritti riservati"/>
    <w:basedOn w:val="Normale"/>
    <w:qFormat/>
    <w:pPr>
      <w:jc w:val="both"/>
    </w:pPr>
    <w:rPr>
      <w:rFonts w:ascii="Helvetica" w:hAnsi="Helvetica" w:cs="Helvetica"/>
      <w:color w:val="808080"/>
      <w:sz w:val="16"/>
    </w:rPr>
  </w:style>
  <w:style w:type="paragraph" w:customStyle="1" w:styleId="disclaimer">
    <w:name w:val="disclaimer"/>
    <w:basedOn w:val="Corpotesto"/>
    <w:qFormat/>
    <w:pPr>
      <w:spacing w:after="0" w:line="240" w:lineRule="auto"/>
    </w:pPr>
    <w:rPr>
      <w:sz w:val="16"/>
    </w:rPr>
  </w:style>
  <w:style w:type="paragraph" w:customStyle="1" w:styleId="elencopuntato1">
    <w:name w:val="elenco puntato1"/>
    <w:basedOn w:val="Corpotesto"/>
    <w:qFormat/>
    <w:pPr>
      <w:numPr>
        <w:numId w:val="9"/>
      </w:numPr>
    </w:pPr>
  </w:style>
  <w:style w:type="paragraph" w:customStyle="1" w:styleId="elencopuntato2">
    <w:name w:val="elenco puntato2"/>
    <w:basedOn w:val="Corpotesto"/>
    <w:qFormat/>
    <w:pPr>
      <w:numPr>
        <w:numId w:val="2"/>
      </w:numPr>
    </w:pPr>
  </w:style>
  <w:style w:type="paragraph" w:styleId="Indice1">
    <w:name w:val="index 1"/>
    <w:basedOn w:val="Normale"/>
    <w:next w:val="Normale"/>
    <w:pPr>
      <w:spacing w:line="312" w:lineRule="auto"/>
      <w:ind w:left="4111"/>
    </w:pPr>
    <w:rPr>
      <w:rFonts w:ascii="Helvetica" w:hAnsi="Helvetica" w:cs="Helvetica"/>
      <w:color w:val="808080"/>
      <w:sz w:val="28"/>
      <w:lang w:val="en-US" w:eastAsia="en-US"/>
    </w:rPr>
  </w:style>
  <w:style w:type="paragraph" w:customStyle="1" w:styleId="indirizzowww">
    <w:name w:val="indirizzo www"/>
    <w:basedOn w:val="datapubblicazione"/>
    <w:qFormat/>
    <w:rPr>
      <w:color w:val="C0C0C0"/>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customStyle="1" w:styleId="redattore">
    <w:name w:val="redattore"/>
    <w:basedOn w:val="Normale"/>
    <w:qFormat/>
    <w:pPr>
      <w:jc w:val="center"/>
    </w:pPr>
    <w:rPr>
      <w:rFonts w:ascii="Helvetica" w:hAnsi="Helvetica" w:cs="Helvetica"/>
      <w:i/>
      <w:sz w:val="20"/>
    </w:rPr>
  </w:style>
  <w:style w:type="paragraph" w:customStyle="1" w:styleId="marginiredattore">
    <w:name w:val="marginiredattore"/>
    <w:basedOn w:val="redattore"/>
    <w:qFormat/>
    <w:rPr>
      <w:color w:val="333399"/>
      <w:sz w:val="24"/>
    </w:rPr>
  </w:style>
  <w:style w:type="paragraph" w:styleId="Pidipagina">
    <w:name w:val="footer"/>
    <w:basedOn w:val="Normale"/>
    <w:pPr>
      <w:tabs>
        <w:tab w:val="center" w:pos="4819"/>
        <w:tab w:val="right" w:pos="9638"/>
      </w:tabs>
      <w:ind w:left="4139"/>
    </w:pPr>
    <w:rPr>
      <w:rFonts w:ascii="Helvetica" w:hAnsi="Helvetica" w:cs="Helvetica"/>
      <w:color w:val="C0C0C0"/>
      <w:sz w:val="16"/>
    </w:rPr>
  </w:style>
  <w:style w:type="paragraph" w:customStyle="1" w:styleId="Pidipaginasezionecontenuti">
    <w:name w:val="Piè di pagina sezione contenuti"/>
    <w:basedOn w:val="Pidipagina"/>
    <w:qFormat/>
    <w:pPr>
      <w:ind w:left="2268"/>
    </w:pPr>
  </w:style>
  <w:style w:type="paragraph" w:customStyle="1" w:styleId="redatto">
    <w:name w:val="redatto"/>
    <w:basedOn w:val="Normale"/>
    <w:qFormat/>
    <w:pPr>
      <w:ind w:left="4111"/>
    </w:pPr>
    <w:rPr>
      <w:rFonts w:ascii="Helvetica" w:hAnsi="Helvetica" w:cs="Helvetica"/>
      <w:color w:val="808080"/>
    </w:rPr>
  </w:style>
  <w:style w:type="paragraph" w:customStyle="1" w:styleId="titolodocumento">
    <w:name w:val="titolo documento"/>
    <w:basedOn w:val="Normale"/>
    <w:qFormat/>
    <w:pPr>
      <w:ind w:right="-30"/>
      <w:jc w:val="center"/>
    </w:pPr>
    <w:rPr>
      <w:rFonts w:ascii="Georgia" w:hAnsi="Georgia" w:cs="Georgia"/>
      <w:b/>
      <w:bCs/>
      <w:color w:val="000099"/>
      <w:sz w:val="40"/>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oloindice">
    <w:name w:val="index heading"/>
    <w:basedOn w:val="Normale"/>
    <w:next w:val="Indice1"/>
  </w:style>
  <w:style w:type="paragraph" w:customStyle="1" w:styleId="titolo10">
    <w:name w:val="titolo1"/>
    <w:basedOn w:val="Titolo1"/>
    <w:qFormat/>
    <w:pPr>
      <w:numPr>
        <w:numId w:val="0"/>
      </w:numPr>
      <w:outlineLvl w:val="9"/>
    </w:pPr>
    <w:rPr>
      <w:rFonts w:ascii="Bookman Old Style" w:hAnsi="Bookman Old Style" w:cs="Times New Roman"/>
      <w:color w:val="000099"/>
      <w:sz w:val="28"/>
      <w:szCs w:val="24"/>
    </w:rPr>
  </w:style>
  <w:style w:type="paragraph" w:customStyle="1" w:styleId="titolo20">
    <w:name w:val="titolo2"/>
    <w:basedOn w:val="Titolo2"/>
    <w:qFormat/>
    <w:pPr>
      <w:numPr>
        <w:ilvl w:val="0"/>
        <w:numId w:val="0"/>
      </w:numPr>
      <w:outlineLvl w:val="9"/>
    </w:pPr>
    <w:rPr>
      <w:rFonts w:ascii="Bookman Old Style" w:hAnsi="Bookman Old Style" w:cs="Times New Roman"/>
      <w:bCs w:val="0"/>
      <w:iCs w:val="0"/>
      <w:color w:val="000099"/>
      <w:sz w:val="22"/>
      <w:szCs w:val="24"/>
    </w:rPr>
  </w:style>
  <w:style w:type="paragraph" w:customStyle="1" w:styleId="titolo30">
    <w:name w:val="titolo3"/>
    <w:basedOn w:val="Titolo3"/>
    <w:qFormat/>
    <w:pPr>
      <w:numPr>
        <w:ilvl w:val="0"/>
        <w:numId w:val="0"/>
      </w:numPr>
      <w:outlineLvl w:val="9"/>
    </w:pPr>
    <w:rPr>
      <w:rFonts w:ascii="Bookman Old Style" w:hAnsi="Bookman Old Style" w:cs="Times New Roman"/>
      <w:b w:val="0"/>
      <w:bCs w:val="0"/>
      <w:i/>
      <w:iCs/>
      <w:color w:val="000099"/>
      <w:sz w:val="22"/>
      <w:szCs w:val="24"/>
    </w:rPr>
  </w:style>
  <w:style w:type="paragraph" w:customStyle="1" w:styleId="abstract">
    <w:name w:val="abstract"/>
    <w:basedOn w:val="Normale"/>
    <w:qFormat/>
    <w:pPr>
      <w:ind w:right="-30"/>
      <w:jc w:val="center"/>
    </w:pPr>
    <w:rPr>
      <w:rFonts w:ascii="Helvetica" w:hAnsi="Helvetica" w:cs="Helvetica"/>
      <w:b/>
      <w:bCs/>
      <w:i/>
      <w:iCs/>
      <w:sz w:val="20"/>
      <w:szCs w:val="28"/>
    </w:rPr>
  </w:style>
  <w:style w:type="paragraph" w:customStyle="1" w:styleId="hTestoTabella">
    <w:name w:val="h) Testo Tabella"/>
    <w:basedOn w:val="Normale"/>
    <w:qFormat/>
    <w:pPr>
      <w:widowControl w:val="0"/>
      <w:autoSpaceDE w:val="0"/>
      <w:spacing w:line="258" w:lineRule="atLeast"/>
      <w:jc w:val="both"/>
      <w:textAlignment w:val="center"/>
    </w:pPr>
    <w:rPr>
      <w:rFonts w:ascii="Eurostile" w:hAnsi="Eurostile" w:cs="Eurostile"/>
      <w:color w:val="000000"/>
      <w:sz w:val="20"/>
      <w:szCs w:val="20"/>
    </w:rPr>
  </w:style>
  <w:style w:type="paragraph" w:styleId="Testonormale">
    <w:name w:val="Plain Text"/>
    <w:basedOn w:val="Normale"/>
    <w:qFormat/>
    <w:rPr>
      <w:rFonts w:ascii="Courier New" w:hAnsi="Courier New" w:cs="Courier New"/>
      <w:sz w:val="20"/>
      <w:szCs w:val="20"/>
    </w:rPr>
  </w:style>
  <w:style w:type="paragraph" w:styleId="NormaleWeb">
    <w:name w:val="Normal (Web)"/>
    <w:basedOn w:val="Normale"/>
    <w:qFormat/>
    <w:pPr>
      <w:spacing w:before="280" w:after="280"/>
    </w:pPr>
  </w:style>
  <w:style w:type="paragraph" w:styleId="Data">
    <w:name w:val="Date"/>
    <w:basedOn w:val="Normale"/>
    <w:next w:val="Normale"/>
    <w:qFormat/>
  </w:style>
  <w:style w:type="paragraph" w:styleId="Mappadocumento">
    <w:name w:val="Document Map"/>
    <w:basedOn w:val="Normale"/>
    <w:qFormat/>
    <w:pPr>
      <w:shd w:val="clear" w:color="auto" w:fill="000080"/>
    </w:pPr>
    <w:rPr>
      <w:rFonts w:ascii="Tahoma" w:hAnsi="Tahoma" w:cs="Tahoma"/>
      <w:sz w:val="20"/>
      <w:szCs w:val="20"/>
    </w:rPr>
  </w:style>
  <w:style w:type="paragraph" w:styleId="Testofumetto">
    <w:name w:val="Balloon Text"/>
    <w:basedOn w:val="Normale"/>
    <w:qFormat/>
    <w:rPr>
      <w:rFonts w:ascii="Tahoma" w:hAnsi="Tahoma" w:cs="Tahoma"/>
      <w:sz w:val="16"/>
      <w:szCs w:val="16"/>
    </w:rPr>
  </w:style>
  <w:style w:type="paragraph" w:styleId="Corpodeltesto2">
    <w:name w:val="Body Text 2"/>
    <w:basedOn w:val="Normale"/>
    <w:qFormat/>
    <w:pPr>
      <w:spacing w:line="480" w:lineRule="auto"/>
    </w:pPr>
    <w:rPr>
      <w:sz w:val="20"/>
      <w:szCs w:val="20"/>
    </w:rPr>
  </w:style>
  <w:style w:type="paragraph" w:styleId="Corpodeltesto3">
    <w:name w:val="Body Text 3"/>
    <w:basedOn w:val="Normale"/>
    <w:qFormat/>
    <w:rPr>
      <w:sz w:val="16"/>
      <w:szCs w:val="16"/>
    </w:rPr>
  </w:style>
  <w:style w:type="paragraph" w:customStyle="1" w:styleId="Default">
    <w:name w:val="Default"/>
    <w:qFormat/>
    <w:pPr>
      <w:widowControl w:val="0"/>
      <w:autoSpaceDE w:val="0"/>
    </w:pPr>
    <w:rPr>
      <w:rFonts w:ascii="Times New Roman" w:eastAsia="Times New Roman" w:hAnsi="Times New Roman" w:cs="Times New Roman"/>
      <w:color w:val="000000"/>
      <w:lang w:val="it-IT" w:bidi="ar-SA"/>
    </w:rPr>
  </w:style>
  <w:style w:type="paragraph" w:styleId="Rientrocorpodeltesto2">
    <w:name w:val="Body Text Indent 2"/>
    <w:basedOn w:val="Normale"/>
    <w:qFormat/>
    <w:pPr>
      <w:spacing w:line="480" w:lineRule="auto"/>
      <w:ind w:left="283"/>
    </w:pPr>
  </w:style>
  <w:style w:type="paragraph" w:styleId="Rientrocorpodeltesto3">
    <w:name w:val="Body Text Indent 3"/>
    <w:basedOn w:val="Normale"/>
    <w:qFormat/>
    <w:pPr>
      <w:ind w:left="283"/>
    </w:pPr>
    <w:rPr>
      <w:sz w:val="16"/>
      <w:szCs w:val="16"/>
    </w:rPr>
  </w:style>
  <w:style w:type="paragraph" w:styleId="Paragrafoelenco">
    <w:name w:val="List Paragraph"/>
    <w:basedOn w:val="Normale"/>
    <w:qFormat/>
    <w:pPr>
      <w:spacing w:after="160" w:line="257" w:lineRule="auto"/>
      <w:ind w:left="720"/>
      <w:contextualSpacing/>
    </w:pPr>
    <w:rPr>
      <w:rFonts w:ascii="Calibri" w:eastAsia="Calibri" w:hAnsi="Calibri" w:cs="Calibri"/>
      <w:sz w:val="22"/>
      <w:szCs w:val="22"/>
    </w:rPr>
  </w:style>
  <w:style w:type="paragraph" w:styleId="Testonotaapidipagina">
    <w:name w:val="footnote text"/>
    <w:basedOn w:val="Normale"/>
    <w:rPr>
      <w:sz w:val="20"/>
      <w:szCs w:val="20"/>
    </w:rPr>
  </w:style>
  <w:style w:type="paragraph" w:customStyle="1" w:styleId="corpodeltesto32">
    <w:name w:val="corpodeltesto32"/>
    <w:basedOn w:val="Normale"/>
    <w:qFormat/>
    <w:pPr>
      <w:spacing w:before="280" w:after="280"/>
    </w:pPr>
  </w:style>
  <w:style w:type="paragraph" w:customStyle="1" w:styleId="Corpodeltesto31">
    <w:name w:val="Corpo del testo 31"/>
    <w:basedOn w:val="Normale"/>
    <w:qFormat/>
    <w:pPr>
      <w:widowControl w:val="0"/>
      <w:spacing w:line="480" w:lineRule="atLeast"/>
      <w:jc w:val="center"/>
    </w:pPr>
  </w:style>
  <w:style w:type="paragraph" w:customStyle="1" w:styleId="Puntoelenco1">
    <w:name w:val="Punto elenco1"/>
    <w:basedOn w:val="Normale"/>
    <w:qFormat/>
    <w:pPr>
      <w:numPr>
        <w:numId w:val="7"/>
      </w:numPr>
    </w:pPr>
  </w:style>
  <w:style w:type="paragraph" w:customStyle="1" w:styleId="txtratto1">
    <w:name w:val="tx_tratto1"/>
    <w:basedOn w:val="Normale"/>
    <w:qFormat/>
    <w:pPr>
      <w:numPr>
        <w:numId w:val="5"/>
      </w:numPr>
      <w:tabs>
        <w:tab w:val="left" w:pos="397"/>
        <w:tab w:val="left" w:pos="944"/>
      </w:tabs>
      <w:ind w:left="924" w:hanging="340"/>
      <w:jc w:val="both"/>
    </w:pPr>
    <w:rPr>
      <w:rFonts w:ascii="Asap;Arial Narrow" w:hAnsi="Asap;Arial Narrow"/>
      <w:sz w:val="22"/>
      <w:szCs w:val="22"/>
    </w:rPr>
  </w:style>
  <w:style w:type="paragraph" w:styleId="Citazioneintensa">
    <w:name w:val="Intense Quote"/>
    <w:basedOn w:val="Normale"/>
    <w:next w:val="Normale"/>
    <w:qFormat/>
    <w:pPr>
      <w:pBdr>
        <w:bottom w:val="single" w:sz="4" w:space="4" w:color="4F81BD"/>
      </w:pBdr>
      <w:spacing w:before="200" w:after="280"/>
      <w:ind w:left="936" w:right="936"/>
    </w:pPr>
    <w:rPr>
      <w:b/>
      <w:bCs/>
      <w:i/>
      <w:iCs/>
      <w:color w:val="4F81BD"/>
      <w:lang w:val="en-US"/>
    </w:rPr>
  </w:style>
  <w:style w:type="paragraph" w:styleId="Nessunaspaziatura">
    <w:name w:val="No Spacing"/>
    <w:qFormat/>
    <w:rPr>
      <w:rFonts w:ascii="Times New Roman" w:eastAsia="Times New Roman" w:hAnsi="Times New Roman" w:cs="Times New Roman"/>
      <w:lang w:val="it-IT" w:bidi="ar-SA"/>
    </w:rPr>
  </w:style>
  <w:style w:type="paragraph" w:customStyle="1" w:styleId="Testo">
    <w:name w:val="Testo"/>
    <w:basedOn w:val="Normale"/>
    <w:qFormat/>
    <w:pPr>
      <w:tabs>
        <w:tab w:val="center" w:pos="2552"/>
      </w:tabs>
    </w:pPr>
    <w:rPr>
      <w:szCs w:val="20"/>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e"/>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table" w:styleId="Grigliatabella">
    <w:name w:val="Table Grid"/>
    <w:basedOn w:val="Tabellanormale"/>
    <w:uiPriority w:val="39"/>
    <w:rsid w:val="00A66BC3"/>
    <w:pPr>
      <w:suppressAutoHyphens w:val="0"/>
    </w:pPr>
    <w:rPr>
      <w:rFonts w:ascii="Times New Roman" w:eastAsia="Times New Roman" w:hAnsi="Times New Roman" w:cs="Times New Roman"/>
      <w:sz w:val="20"/>
      <w:szCs w:val="20"/>
      <w:lang w:val="it-IT"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toelenco2">
    <w:name w:val="Punto elenco2"/>
    <w:rsid w:val="00A66BC3"/>
    <w:pPr>
      <w:suppressAutoHyphens w:val="0"/>
    </w:pPr>
    <w:rPr>
      <w:rFonts w:ascii="Arial" w:eastAsia="Times New Roman" w:hAnsi="Arial" w:cs="Times New Roman"/>
      <w:sz w:val="20"/>
      <w:szCs w:val="20"/>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7</Pages>
  <Words>2527</Words>
  <Characters>15545</Characters>
  <Application>Microsoft Office Word</Application>
  <DocSecurity>0</DocSecurity>
  <Lines>246</Lines>
  <Paragraphs>112</Paragraphs>
  <ScaleCrop>false</ScaleCrop>
  <HeadingPairs>
    <vt:vector size="2" baseType="variant">
      <vt:variant>
        <vt:lpstr>Titolo</vt:lpstr>
      </vt:variant>
      <vt:variant>
        <vt:i4>1</vt:i4>
      </vt:variant>
    </vt:vector>
  </HeadingPairs>
  <TitlesOfParts>
    <vt:vector size="1" baseType="lpstr">
      <vt:lpstr>Dichiarazione ICI per l’anno 2006</vt:lpstr>
    </vt:vector>
  </TitlesOfParts>
  <Company/>
  <LinksUpToDate>false</LinksUpToDate>
  <CharactersWithSpaces>17960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ICI per l’anno 2006</dc:title>
  <dc:creator>Wanda Tedesco</dc:creator>
  <cp:lastModifiedBy>Adele Cardani</cp:lastModifiedBy>
  <cp:revision>4</cp:revision>
  <cp:lastPrinted>2019-09-19T12:47:00Z</cp:lastPrinted>
  <dcterms:created xsi:type="dcterms:W3CDTF">2026-11-03T12:01:00Z</dcterms:created>
  <dcterms:modified xsi:type="dcterms:W3CDTF">2026-11-03T14:22:00Z</dcterms:modified>
  <dc:language>en-US</dc:language>
</cp:coreProperties>
</file>